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4194" w:rsidRPr="002E4194" w14:paraId="1C89B55E" w14:textId="77777777" w:rsidTr="00586E31">
        <w:tc>
          <w:tcPr>
            <w:tcW w:w="9062" w:type="dxa"/>
          </w:tcPr>
          <w:p w14:paraId="5C244682" w14:textId="77777777" w:rsidR="002A73B9" w:rsidRPr="002E4194" w:rsidRDefault="002A73B9" w:rsidP="002A7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194">
              <w:rPr>
                <w:rFonts w:ascii="Times New Roman" w:hAnsi="Times New Roman" w:cs="Times New Roman"/>
                <w:b/>
              </w:rPr>
              <w:t>ŞAHADET (DEĞİŞİKLİK) YASA TASARISININ</w:t>
            </w:r>
          </w:p>
          <w:p w14:paraId="76B1C2C3" w14:textId="77777777" w:rsidR="002A73B9" w:rsidRPr="002E4194" w:rsidRDefault="002A73B9" w:rsidP="002A73B9">
            <w:pPr>
              <w:jc w:val="center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  <w:b/>
              </w:rPr>
              <w:t>GENEL GEREKÇESİ</w:t>
            </w:r>
          </w:p>
        </w:tc>
      </w:tr>
      <w:tr w:rsidR="002A73B9" w:rsidRPr="002E4194" w14:paraId="050BB33D" w14:textId="77777777" w:rsidTr="00586E31">
        <w:tc>
          <w:tcPr>
            <w:tcW w:w="9062" w:type="dxa"/>
          </w:tcPr>
          <w:p w14:paraId="080BF0B2" w14:textId="77777777" w:rsidR="00631301" w:rsidRDefault="00631301" w:rsidP="0067799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12704EE3" w14:textId="4EC694A8" w:rsidR="00433FB5" w:rsidRDefault="00631301" w:rsidP="002917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77998" w:rsidRPr="002E4194">
              <w:rPr>
                <w:rFonts w:ascii="Times New Roman" w:hAnsi="Times New Roman" w:cs="Times New Roman"/>
              </w:rPr>
              <w:t xml:space="preserve">1976 </w:t>
            </w:r>
            <w:r w:rsidR="00E618A0" w:rsidRPr="002E4194">
              <w:rPr>
                <w:rFonts w:ascii="Times New Roman" w:hAnsi="Times New Roman" w:cs="Times New Roman"/>
              </w:rPr>
              <w:t xml:space="preserve">Mahkemeler </w:t>
            </w:r>
            <w:r w:rsidR="00677998" w:rsidRPr="002E4194">
              <w:rPr>
                <w:rFonts w:ascii="Times New Roman" w:hAnsi="Times New Roman" w:cs="Times New Roman"/>
              </w:rPr>
              <w:t>Yasası’n</w:t>
            </w:r>
            <w:r w:rsidR="0069735C" w:rsidRPr="002E4194">
              <w:rPr>
                <w:rFonts w:ascii="Times New Roman" w:hAnsi="Times New Roman" w:cs="Times New Roman"/>
              </w:rPr>
              <w:t xml:space="preserve">a yeni 56A </w:t>
            </w:r>
            <w:r w:rsidR="00677998" w:rsidRPr="002E4194">
              <w:rPr>
                <w:rFonts w:ascii="Times New Roman" w:hAnsi="Times New Roman" w:cs="Times New Roman"/>
              </w:rPr>
              <w:t>maddesi</w:t>
            </w:r>
            <w:r w:rsidR="0069735C" w:rsidRPr="002E4194">
              <w:rPr>
                <w:rFonts w:ascii="Times New Roman" w:hAnsi="Times New Roman" w:cs="Times New Roman"/>
              </w:rPr>
              <w:t xml:space="preserve"> eklenerek</w:t>
            </w:r>
            <w:r w:rsidR="00677998" w:rsidRPr="002E4194">
              <w:rPr>
                <w:rFonts w:ascii="Times New Roman" w:hAnsi="Times New Roman" w:cs="Times New Roman"/>
              </w:rPr>
              <w:t xml:space="preserve"> bir tanığın duruşmaya video konferans</w:t>
            </w:r>
            <w:r w:rsidR="00745785" w:rsidRPr="002E4194">
              <w:rPr>
                <w:rFonts w:ascii="Times New Roman" w:hAnsi="Times New Roman" w:cs="Times New Roman"/>
              </w:rPr>
              <w:t xml:space="preserve"> y</w:t>
            </w:r>
            <w:r w:rsidR="0069735C" w:rsidRPr="002E4194">
              <w:rPr>
                <w:rFonts w:ascii="Times New Roman" w:hAnsi="Times New Roman" w:cs="Times New Roman"/>
              </w:rPr>
              <w:t>öntemi ile</w:t>
            </w:r>
            <w:r w:rsidR="00745785" w:rsidRPr="002E4194">
              <w:rPr>
                <w:rFonts w:ascii="Times New Roman" w:hAnsi="Times New Roman" w:cs="Times New Roman"/>
              </w:rPr>
              <w:t xml:space="preserve"> katılabilmesi için</w:t>
            </w:r>
            <w:r w:rsidR="00677998" w:rsidRPr="002E4194">
              <w:rPr>
                <w:rFonts w:ascii="Times New Roman" w:hAnsi="Times New Roman" w:cs="Times New Roman"/>
              </w:rPr>
              <w:t xml:space="preserve"> </w:t>
            </w:r>
            <w:r w:rsidR="00F554DC" w:rsidRPr="002E4194">
              <w:rPr>
                <w:rFonts w:ascii="Times New Roman" w:hAnsi="Times New Roman" w:cs="Times New Roman"/>
              </w:rPr>
              <w:t>M</w:t>
            </w:r>
            <w:r w:rsidR="00677998" w:rsidRPr="002E4194">
              <w:rPr>
                <w:rFonts w:ascii="Times New Roman" w:hAnsi="Times New Roman" w:cs="Times New Roman"/>
              </w:rPr>
              <w:t xml:space="preserve">ahkeme tarafından izin verilebilmesine yönelik olarak değişiklik yapılmıştır. Şahadet Yasası’nın 2’nci maddesine yeni tefsir ve yeni 21’inci maddesi eklenerek </w:t>
            </w:r>
            <w:r w:rsidR="00F554DC" w:rsidRPr="002E4194">
              <w:rPr>
                <w:rFonts w:ascii="Times New Roman" w:hAnsi="Times New Roman" w:cs="Times New Roman"/>
              </w:rPr>
              <w:t xml:space="preserve">1976 </w:t>
            </w:r>
            <w:r w:rsidR="00677998" w:rsidRPr="002E4194">
              <w:rPr>
                <w:rFonts w:ascii="Times New Roman" w:hAnsi="Times New Roman" w:cs="Times New Roman"/>
              </w:rPr>
              <w:t>Mahkemeler Yasası</w:t>
            </w:r>
            <w:r w:rsidR="0069735C" w:rsidRPr="002E4194">
              <w:rPr>
                <w:rFonts w:ascii="Times New Roman" w:hAnsi="Times New Roman" w:cs="Times New Roman"/>
              </w:rPr>
              <w:t>’nda yapılan değişiklik</w:t>
            </w:r>
            <w:r w:rsidR="00677998" w:rsidRPr="002E4194">
              <w:rPr>
                <w:rFonts w:ascii="Times New Roman" w:hAnsi="Times New Roman" w:cs="Times New Roman"/>
              </w:rPr>
              <w:t xml:space="preserve"> ile uyumlu hale getirilmiştir.</w:t>
            </w:r>
          </w:p>
          <w:p w14:paraId="3341D450" w14:textId="77777777" w:rsidR="002917AF" w:rsidRDefault="002917AF" w:rsidP="002917AF">
            <w:pPr>
              <w:jc w:val="both"/>
              <w:rPr>
                <w:rFonts w:ascii="Times New Roman" w:hAnsi="Times New Roman" w:cs="Times New Roman"/>
              </w:rPr>
            </w:pPr>
          </w:p>
          <w:p w14:paraId="17C53EEC" w14:textId="4662C61A" w:rsidR="00755436" w:rsidRPr="002E4194" w:rsidRDefault="00631301" w:rsidP="002917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55436" w:rsidRPr="002E4194">
              <w:rPr>
                <w:rFonts w:ascii="Times New Roman" w:hAnsi="Times New Roman" w:cs="Times New Roman"/>
              </w:rPr>
              <w:t>Yukarıda belirtilen gerekçelerle işbu Değişiklik Yasa Tasarısı hazırlanmıştır.</w:t>
            </w:r>
          </w:p>
        </w:tc>
      </w:tr>
    </w:tbl>
    <w:p w14:paraId="78888B7D" w14:textId="77777777" w:rsidR="00755436" w:rsidRPr="002E4194" w:rsidRDefault="00755436"/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16"/>
        <w:gridCol w:w="411"/>
        <w:gridCol w:w="7069"/>
      </w:tblGrid>
      <w:tr w:rsidR="002E4194" w:rsidRPr="002E4194" w14:paraId="4E3C5914" w14:textId="77777777" w:rsidTr="00956261">
        <w:tc>
          <w:tcPr>
            <w:tcW w:w="9067" w:type="dxa"/>
            <w:gridSpan w:val="4"/>
          </w:tcPr>
          <w:p w14:paraId="295C1FCA" w14:textId="77777777" w:rsidR="00240955" w:rsidRPr="002E4194" w:rsidRDefault="00240955" w:rsidP="00CB3AAA">
            <w:pPr>
              <w:spacing w:after="240"/>
              <w:jc w:val="center"/>
              <w:rPr>
                <w:rFonts w:ascii="Times New Roman" w:hAnsi="Times New Roman" w:cs="Times New Roman"/>
                <w:b/>
              </w:rPr>
            </w:pPr>
            <w:r w:rsidRPr="002E4194">
              <w:rPr>
                <w:rFonts w:ascii="Times New Roman" w:hAnsi="Times New Roman" w:cs="Times New Roman"/>
                <w:b/>
              </w:rPr>
              <w:t>MADDE GEREKÇELERİ</w:t>
            </w:r>
          </w:p>
        </w:tc>
      </w:tr>
      <w:tr w:rsidR="002E4194" w:rsidRPr="002E4194" w14:paraId="18B4760E" w14:textId="77777777" w:rsidTr="00956261">
        <w:tc>
          <w:tcPr>
            <w:tcW w:w="1271" w:type="dxa"/>
          </w:tcPr>
          <w:p w14:paraId="7C324627" w14:textId="77777777" w:rsidR="00240955" w:rsidRPr="002E4194" w:rsidRDefault="00240955" w:rsidP="00CB3AAA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Madde 1</w:t>
            </w:r>
          </w:p>
        </w:tc>
        <w:tc>
          <w:tcPr>
            <w:tcW w:w="7796" w:type="dxa"/>
            <w:gridSpan w:val="3"/>
          </w:tcPr>
          <w:p w14:paraId="2FBA49F8" w14:textId="77777777" w:rsidR="00240955" w:rsidRPr="002E4194" w:rsidRDefault="00240955" w:rsidP="00CB3AAA">
            <w:pPr>
              <w:spacing w:after="120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Yasa’nın kısa ismi düzenlenmiştir.</w:t>
            </w:r>
          </w:p>
        </w:tc>
      </w:tr>
      <w:tr w:rsidR="002E4194" w:rsidRPr="002E4194" w14:paraId="2E8CAD2C" w14:textId="77777777" w:rsidTr="00956261">
        <w:tc>
          <w:tcPr>
            <w:tcW w:w="1271" w:type="dxa"/>
          </w:tcPr>
          <w:p w14:paraId="5E21AB16" w14:textId="77777777" w:rsidR="00790BB4" w:rsidRPr="002E4194" w:rsidRDefault="00790BB4" w:rsidP="00CB3AAA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Madde 2</w:t>
            </w:r>
          </w:p>
        </w:tc>
        <w:tc>
          <w:tcPr>
            <w:tcW w:w="7796" w:type="dxa"/>
            <w:gridSpan w:val="3"/>
          </w:tcPr>
          <w:p w14:paraId="4CAD4714" w14:textId="7171217A" w:rsidR="00790BB4" w:rsidRPr="002E4194" w:rsidRDefault="008137AB" w:rsidP="00790B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Esas Yasa’nın 2’nci maddesine yeni “Video Konferans” tefsiri konmak suretiyle madde yeniden düzenlenmiştir.</w:t>
            </w:r>
          </w:p>
        </w:tc>
      </w:tr>
      <w:tr w:rsidR="002E4194" w:rsidRPr="002E4194" w14:paraId="347470AA" w14:textId="77777777" w:rsidTr="00975663">
        <w:tc>
          <w:tcPr>
            <w:tcW w:w="1271" w:type="dxa"/>
          </w:tcPr>
          <w:p w14:paraId="65DC41D4" w14:textId="77777777" w:rsidR="00240955" w:rsidRPr="002E4194" w:rsidRDefault="00240955" w:rsidP="00CB3AAA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 xml:space="preserve">Madde </w:t>
            </w:r>
            <w:r w:rsidR="00790BB4" w:rsidRPr="002E41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gridSpan w:val="3"/>
          </w:tcPr>
          <w:p w14:paraId="4DD661D8" w14:textId="63B2BCF2" w:rsidR="00240955" w:rsidRPr="002E4194" w:rsidRDefault="001C048F" w:rsidP="001C048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 xml:space="preserve">Esas Yasa’nın 20’nci maddesinden </w:t>
            </w:r>
            <w:r w:rsidR="008A1BBA" w:rsidRPr="002E4194">
              <w:rPr>
                <w:rFonts w:ascii="Times New Roman" w:hAnsi="Times New Roman" w:cs="Times New Roman"/>
              </w:rPr>
              <w:t xml:space="preserve">hemen </w:t>
            </w:r>
            <w:r w:rsidRPr="002E4194">
              <w:rPr>
                <w:rFonts w:ascii="Times New Roman" w:hAnsi="Times New Roman" w:cs="Times New Roman"/>
              </w:rPr>
              <w:t>sonra yeni 21’</w:t>
            </w:r>
            <w:r w:rsidR="00B53581" w:rsidRPr="002E4194">
              <w:rPr>
                <w:rFonts w:ascii="Times New Roman" w:hAnsi="Times New Roman" w:cs="Times New Roman"/>
              </w:rPr>
              <w:t>i</w:t>
            </w:r>
            <w:r w:rsidRPr="002E4194">
              <w:rPr>
                <w:rFonts w:ascii="Times New Roman" w:hAnsi="Times New Roman" w:cs="Times New Roman"/>
              </w:rPr>
              <w:t>nci madde eklenmiştir.</w:t>
            </w:r>
            <w:r w:rsidR="00240955" w:rsidRPr="002E41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4194" w:rsidRPr="002E4194" w14:paraId="6FBAD1A5" w14:textId="77777777" w:rsidTr="00975663">
        <w:tc>
          <w:tcPr>
            <w:tcW w:w="1271" w:type="dxa"/>
          </w:tcPr>
          <w:p w14:paraId="7212F163" w14:textId="77777777" w:rsidR="00240955" w:rsidRPr="002E4194" w:rsidRDefault="00240955" w:rsidP="00CB3AAA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 xml:space="preserve">Madde </w:t>
            </w:r>
            <w:r w:rsidR="00790BB4" w:rsidRPr="002E41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gridSpan w:val="3"/>
          </w:tcPr>
          <w:p w14:paraId="4872A89F" w14:textId="77777777" w:rsidR="00240955" w:rsidRPr="002E4194" w:rsidRDefault="0024095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Yasa’nın yürürlüğe giriş tarihi düzenlenmiştir.</w:t>
            </w:r>
          </w:p>
          <w:p w14:paraId="4B0CF147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3AD8A8F0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37619C57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3BE15042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D71E83C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27B566F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3FF035A8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302A63E1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A888EC0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029E48DB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5B1DA277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BB42D38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238442AB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70B3F891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7FE8096A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2E2F03A9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50DC2A3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2D75EFE8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1F76341A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2D5E7FDC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6C67C765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64F968F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00BF2164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FE1952C" w14:textId="77777777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BC355AE" w14:textId="3F70A7C9" w:rsidR="00AF3525" w:rsidRPr="002E4194" w:rsidRDefault="00AF3525" w:rsidP="00CB3AA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4194" w:rsidRPr="002E4194" w14:paraId="5EE59716" w14:textId="77777777" w:rsidTr="00975663">
        <w:tc>
          <w:tcPr>
            <w:tcW w:w="9067" w:type="dxa"/>
            <w:gridSpan w:val="4"/>
          </w:tcPr>
          <w:p w14:paraId="70C134CF" w14:textId="77777777" w:rsidR="00956261" w:rsidRPr="002E4194" w:rsidRDefault="00956261" w:rsidP="007003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86D6A6" w14:textId="3F13ED60" w:rsidR="007003E4" w:rsidRPr="002E4194" w:rsidRDefault="007003E4" w:rsidP="00AF352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E4194">
              <w:rPr>
                <w:rFonts w:ascii="Times New Roman" w:hAnsi="Times New Roman" w:cs="Times New Roman"/>
                <w:b/>
              </w:rPr>
              <w:t>ŞAHADET (DEĞİŞİKLİK) YASA TASARISI</w:t>
            </w:r>
          </w:p>
        </w:tc>
      </w:tr>
      <w:tr w:rsidR="002E4194" w:rsidRPr="002E4194" w14:paraId="05E707C6" w14:textId="77777777" w:rsidTr="00975663">
        <w:tc>
          <w:tcPr>
            <w:tcW w:w="9067" w:type="dxa"/>
            <w:gridSpan w:val="4"/>
          </w:tcPr>
          <w:p w14:paraId="6991F571" w14:textId="480DD4F0" w:rsidR="00A566BE" w:rsidRPr="002E4194" w:rsidRDefault="00631301" w:rsidP="006313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Kuzey</w:t>
            </w:r>
            <w:r w:rsidR="00AF3525" w:rsidRPr="002E4194">
              <w:rPr>
                <w:rFonts w:ascii="Times New Roman" w:hAnsi="Times New Roman" w:cs="Times New Roman"/>
              </w:rPr>
              <w:t xml:space="preserve"> Kıbrıs</w:t>
            </w:r>
            <w:r>
              <w:rPr>
                <w:rFonts w:ascii="Times New Roman" w:hAnsi="Times New Roman" w:cs="Times New Roman"/>
              </w:rPr>
              <w:t xml:space="preserve"> Türk Cumhuriyeti Cumhuriyet Meclisi aşağıdaki Yasayı </w:t>
            </w:r>
            <w:r w:rsidR="00AF3525" w:rsidRPr="002E4194">
              <w:rPr>
                <w:rFonts w:ascii="Times New Roman" w:hAnsi="Times New Roman" w:cs="Times New Roman"/>
              </w:rPr>
              <w:t>yapar:</w:t>
            </w:r>
          </w:p>
          <w:p w14:paraId="28E21FB4" w14:textId="3A22F15B" w:rsidR="00AF3525" w:rsidRPr="002E4194" w:rsidRDefault="00AF3525" w:rsidP="007003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194" w:rsidRPr="002E4194" w14:paraId="003B0FBC" w14:textId="77777777" w:rsidTr="00975663">
        <w:tc>
          <w:tcPr>
            <w:tcW w:w="1587" w:type="dxa"/>
            <w:gridSpan w:val="2"/>
          </w:tcPr>
          <w:p w14:paraId="0B21E012" w14:textId="77777777" w:rsidR="003F71E1" w:rsidRPr="002E4194" w:rsidRDefault="003F71E1" w:rsidP="00CB3AAA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Kısa İsim</w:t>
            </w:r>
          </w:p>
          <w:p w14:paraId="2D9DBB4D" w14:textId="77777777" w:rsidR="00A07132" w:rsidRPr="002E4194" w:rsidRDefault="00A07132" w:rsidP="00CB3AAA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Fasıl 9</w:t>
            </w:r>
          </w:p>
          <w:p w14:paraId="7CE57CB7" w14:textId="40708851" w:rsidR="003F71E1" w:rsidRPr="002E4194" w:rsidRDefault="00A07132" w:rsidP="00A74A11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33/2006</w:t>
            </w:r>
          </w:p>
          <w:p w14:paraId="0AA06CB0" w14:textId="6C5E68C0" w:rsidR="00A74A11" w:rsidRPr="002E4194" w:rsidRDefault="00A74A11" w:rsidP="00A74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14:paraId="47764632" w14:textId="77777777" w:rsidR="003F71E1" w:rsidRPr="002E4194" w:rsidRDefault="003F71E1" w:rsidP="00CB3AAA">
            <w:pPr>
              <w:jc w:val="center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1.</w:t>
            </w:r>
          </w:p>
          <w:p w14:paraId="1F6FD717" w14:textId="77777777" w:rsidR="003F71E1" w:rsidRPr="002E4194" w:rsidRDefault="003F71E1" w:rsidP="00CB3A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</w:tcPr>
          <w:p w14:paraId="209B488D" w14:textId="77777777" w:rsidR="003F71E1" w:rsidRPr="002E4194" w:rsidRDefault="00A07132" w:rsidP="00CB3A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2E4194">
              <w:rPr>
                <w:rFonts w:ascii="Times New Roman" w:hAnsi="Times New Roman" w:cs="Times New Roman"/>
              </w:rPr>
              <w:t>Bu Yasa, Şahadet (Değişiklik) Yasası olarak isimlendirilir ve aşağıda “Esas Yasa” olarak anılan Şahadet Yasası ile birlikte okunur.</w:t>
            </w:r>
          </w:p>
        </w:tc>
      </w:tr>
      <w:tr w:rsidR="002E4194" w:rsidRPr="002E4194" w14:paraId="466F1DBD" w14:textId="77777777" w:rsidTr="00975663">
        <w:tc>
          <w:tcPr>
            <w:tcW w:w="1587" w:type="dxa"/>
            <w:gridSpan w:val="2"/>
          </w:tcPr>
          <w:p w14:paraId="74D74FD9" w14:textId="73A4BC85" w:rsidR="003F71E1" w:rsidRPr="002E4194" w:rsidRDefault="0093583B" w:rsidP="00CB3AAA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Esas Yasanın 2’nci</w:t>
            </w:r>
            <w:r w:rsidR="00D713C2" w:rsidRPr="002E4194">
              <w:rPr>
                <w:rFonts w:ascii="Times New Roman" w:hAnsi="Times New Roman" w:cs="Times New Roman"/>
              </w:rPr>
              <w:t xml:space="preserve"> Maddesinin </w:t>
            </w:r>
          </w:p>
          <w:p w14:paraId="060D6ED0" w14:textId="77777777" w:rsidR="00D713C2" w:rsidRPr="002E4194" w:rsidRDefault="00D713C2" w:rsidP="00CB3AAA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De</w:t>
            </w:r>
            <w:r w:rsidR="00087789" w:rsidRPr="002E4194">
              <w:rPr>
                <w:rFonts w:ascii="Times New Roman" w:hAnsi="Times New Roman" w:cs="Times New Roman"/>
              </w:rPr>
              <w:t>ğiştirilmesi</w:t>
            </w:r>
          </w:p>
          <w:p w14:paraId="4C60C60D" w14:textId="77777777" w:rsidR="00FD1436" w:rsidRPr="002E4194" w:rsidRDefault="00FD1436" w:rsidP="00CB3AAA">
            <w:pPr>
              <w:rPr>
                <w:rFonts w:ascii="Times New Roman" w:hAnsi="Times New Roman" w:cs="Times New Roman"/>
              </w:rPr>
            </w:pPr>
          </w:p>
          <w:p w14:paraId="379ACC2C" w14:textId="77777777" w:rsidR="00FD1436" w:rsidRPr="002E4194" w:rsidRDefault="00FD1436" w:rsidP="00CB3AAA">
            <w:pPr>
              <w:rPr>
                <w:rFonts w:ascii="Times New Roman" w:hAnsi="Times New Roman" w:cs="Times New Roman"/>
              </w:rPr>
            </w:pPr>
          </w:p>
          <w:p w14:paraId="48977998" w14:textId="77777777" w:rsidR="00FD1436" w:rsidRPr="002E4194" w:rsidRDefault="00FD1436" w:rsidP="00CB3AAA">
            <w:pPr>
              <w:rPr>
                <w:rFonts w:ascii="Times New Roman" w:hAnsi="Times New Roman" w:cs="Times New Roman"/>
              </w:rPr>
            </w:pPr>
          </w:p>
          <w:p w14:paraId="76208C3D" w14:textId="77777777" w:rsidR="00FD1436" w:rsidRPr="002E4194" w:rsidRDefault="00FD1436" w:rsidP="00CB3AAA">
            <w:pPr>
              <w:rPr>
                <w:rFonts w:ascii="Times New Roman" w:hAnsi="Times New Roman" w:cs="Times New Roman"/>
              </w:rPr>
            </w:pPr>
          </w:p>
          <w:p w14:paraId="59B10010" w14:textId="77777777" w:rsidR="00FD1436" w:rsidRPr="002E4194" w:rsidRDefault="00FD1436" w:rsidP="00CB3AAA">
            <w:pPr>
              <w:rPr>
                <w:rFonts w:ascii="Times New Roman" w:hAnsi="Times New Roman" w:cs="Times New Roman"/>
              </w:rPr>
            </w:pPr>
          </w:p>
          <w:p w14:paraId="765C420C" w14:textId="77777777" w:rsidR="00FD1436" w:rsidRPr="002E4194" w:rsidRDefault="00FD1436" w:rsidP="00CB3AAA">
            <w:pPr>
              <w:rPr>
                <w:rFonts w:ascii="Times New Roman" w:hAnsi="Times New Roman" w:cs="Times New Roman"/>
              </w:rPr>
            </w:pPr>
          </w:p>
          <w:p w14:paraId="68A70EA5" w14:textId="77777777" w:rsidR="00FD1436" w:rsidRPr="002E4194" w:rsidRDefault="00FD1436" w:rsidP="00CB3AAA">
            <w:pPr>
              <w:rPr>
                <w:rFonts w:ascii="Times New Roman" w:hAnsi="Times New Roman" w:cs="Times New Roman"/>
              </w:rPr>
            </w:pPr>
          </w:p>
          <w:p w14:paraId="2B472347" w14:textId="77777777" w:rsidR="00994C3C" w:rsidRPr="002E4194" w:rsidRDefault="00FD1436" w:rsidP="00FD1436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Esas Yasa’ya</w:t>
            </w:r>
            <w:r w:rsidR="00994C3C" w:rsidRPr="002E4194">
              <w:rPr>
                <w:rFonts w:ascii="Times New Roman" w:hAnsi="Times New Roman" w:cs="Times New Roman"/>
              </w:rPr>
              <w:t xml:space="preserve"> Yeni</w:t>
            </w:r>
          </w:p>
          <w:p w14:paraId="5B80D29D" w14:textId="77777777" w:rsidR="00994C3C" w:rsidRPr="002E4194" w:rsidRDefault="00FD1436" w:rsidP="00FD1436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 xml:space="preserve">21’inci </w:t>
            </w:r>
          </w:p>
          <w:p w14:paraId="031F2CA7" w14:textId="5C809C98" w:rsidR="00FD1436" w:rsidRPr="002E4194" w:rsidRDefault="00FD1436" w:rsidP="00FD1436">
            <w:pPr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Madde</w:t>
            </w:r>
            <w:r w:rsidR="00994C3C" w:rsidRPr="002E4194">
              <w:rPr>
                <w:rFonts w:ascii="Times New Roman" w:hAnsi="Times New Roman" w:cs="Times New Roman"/>
              </w:rPr>
              <w:t>nin</w:t>
            </w:r>
            <w:r w:rsidRPr="002E4194">
              <w:rPr>
                <w:rFonts w:ascii="Times New Roman" w:hAnsi="Times New Roman" w:cs="Times New Roman"/>
              </w:rPr>
              <w:t xml:space="preserve"> Eklenmesi</w:t>
            </w:r>
          </w:p>
        </w:tc>
        <w:tc>
          <w:tcPr>
            <w:tcW w:w="411" w:type="dxa"/>
          </w:tcPr>
          <w:p w14:paraId="6F571FEE" w14:textId="77777777" w:rsidR="003F71E1" w:rsidRPr="002E4194" w:rsidRDefault="003F71E1" w:rsidP="00CB3AAA">
            <w:pPr>
              <w:jc w:val="center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2.</w:t>
            </w:r>
          </w:p>
          <w:p w14:paraId="7C70D9F4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10666672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4374E02E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75C92A76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416EE455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563A6745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1998AC78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111D2860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26A2A7DE" w14:textId="77777777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</w:p>
          <w:p w14:paraId="567FDBA7" w14:textId="77777777" w:rsidR="00FD1436" w:rsidRPr="002E4194" w:rsidRDefault="00FD1436" w:rsidP="00F26635">
            <w:pPr>
              <w:rPr>
                <w:rFonts w:ascii="Times New Roman" w:hAnsi="Times New Roman" w:cs="Times New Roman"/>
              </w:rPr>
            </w:pPr>
          </w:p>
          <w:p w14:paraId="5E00A50F" w14:textId="021A6D1D" w:rsidR="00FD1436" w:rsidRPr="002E4194" w:rsidRDefault="00FD1436" w:rsidP="00CB3AAA">
            <w:pPr>
              <w:jc w:val="center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69" w:type="dxa"/>
          </w:tcPr>
          <w:p w14:paraId="3ED01CE8" w14:textId="518B5DDC" w:rsidR="00812F19" w:rsidRPr="002E4194" w:rsidRDefault="00812F19" w:rsidP="00812F19">
            <w:pPr>
              <w:jc w:val="both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 xml:space="preserve">Esas Yasa, 2’nci </w:t>
            </w:r>
            <w:r w:rsidR="00421ED8" w:rsidRPr="002E4194">
              <w:rPr>
                <w:rFonts w:ascii="Times New Roman" w:hAnsi="Times New Roman" w:cs="Times New Roman"/>
              </w:rPr>
              <w:t>maddesine “</w:t>
            </w:r>
            <w:r w:rsidR="002F33ED" w:rsidRPr="002E4194">
              <w:rPr>
                <w:rFonts w:ascii="Times New Roman" w:hAnsi="Times New Roman" w:cs="Times New Roman"/>
              </w:rPr>
              <w:t>Mahkeme</w:t>
            </w:r>
            <w:r w:rsidRPr="002E4194">
              <w:rPr>
                <w:rFonts w:ascii="Times New Roman" w:hAnsi="Times New Roman" w:cs="Times New Roman"/>
              </w:rPr>
              <w:t>” tefsirind</w:t>
            </w:r>
            <w:r w:rsidR="00180A0A" w:rsidRPr="002E4194">
              <w:rPr>
                <w:rFonts w:ascii="Times New Roman" w:hAnsi="Times New Roman" w:cs="Times New Roman"/>
              </w:rPr>
              <w:t>en hemen sonra aşağıdaki yeni “Video K</w:t>
            </w:r>
            <w:r w:rsidRPr="002E4194">
              <w:rPr>
                <w:rFonts w:ascii="Times New Roman" w:hAnsi="Times New Roman" w:cs="Times New Roman"/>
              </w:rPr>
              <w:t>onferans” tefsiri eklenmek suretiyle değiştirilir</w:t>
            </w:r>
            <w:r w:rsidR="00760801" w:rsidRPr="002E4194">
              <w:rPr>
                <w:rFonts w:ascii="Times New Roman" w:hAnsi="Times New Roman" w:cs="Times New Roman"/>
              </w:rPr>
              <w:t>:</w:t>
            </w:r>
          </w:p>
          <w:p w14:paraId="50F1BB0F" w14:textId="77777777" w:rsidR="00812F19" w:rsidRPr="002E4194" w:rsidRDefault="00812F19" w:rsidP="00812F19">
            <w:pPr>
              <w:jc w:val="both"/>
              <w:rPr>
                <w:rFonts w:ascii="Times New Roman" w:hAnsi="Times New Roman" w:cs="Times New Roman"/>
              </w:rPr>
            </w:pPr>
          </w:p>
          <w:p w14:paraId="114DA397" w14:textId="14C49E32" w:rsidR="00ED5ACF" w:rsidRPr="002E4194" w:rsidRDefault="00760801" w:rsidP="00A74A11">
            <w:pPr>
              <w:jc w:val="both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 xml:space="preserve">“ </w:t>
            </w:r>
            <w:r w:rsidR="003B1F92" w:rsidRPr="002E4194">
              <w:rPr>
                <w:rFonts w:ascii="Times New Roman" w:hAnsi="Times New Roman" w:cs="Times New Roman"/>
              </w:rPr>
              <w:t>“Video K</w:t>
            </w:r>
            <w:r w:rsidR="00812F19" w:rsidRPr="002E4194">
              <w:rPr>
                <w:rFonts w:ascii="Times New Roman" w:hAnsi="Times New Roman" w:cs="Times New Roman"/>
              </w:rPr>
              <w:t xml:space="preserve">onferans”, </w:t>
            </w:r>
            <w:r w:rsidR="00BE5F02" w:rsidRPr="002E4194">
              <w:rPr>
                <w:rFonts w:ascii="Times New Roman" w:hAnsi="Times New Roman" w:cs="Times New Roman"/>
              </w:rPr>
              <w:t xml:space="preserve">hukuk ve aile davalarında bir tanığın </w:t>
            </w:r>
            <w:r w:rsidRPr="002E4194">
              <w:rPr>
                <w:rFonts w:ascii="Times New Roman" w:hAnsi="Times New Roman" w:cs="Times New Roman"/>
              </w:rPr>
              <w:t>M</w:t>
            </w:r>
            <w:r w:rsidR="00BE5F02" w:rsidRPr="002E4194">
              <w:rPr>
                <w:rFonts w:ascii="Times New Roman" w:hAnsi="Times New Roman" w:cs="Times New Roman"/>
              </w:rPr>
              <w:t xml:space="preserve">ahkeme salonunda bulunmadığı halde, </w:t>
            </w:r>
            <w:r w:rsidRPr="002E4194">
              <w:rPr>
                <w:rFonts w:ascii="Times New Roman" w:hAnsi="Times New Roman" w:cs="Times New Roman"/>
              </w:rPr>
              <w:t>M</w:t>
            </w:r>
            <w:r w:rsidR="00BE5F02" w:rsidRPr="002E4194">
              <w:rPr>
                <w:rFonts w:ascii="Times New Roman" w:hAnsi="Times New Roman" w:cs="Times New Roman"/>
              </w:rPr>
              <w:t xml:space="preserve">ahkemede bulunan kişileri eş zamanlı olarak görebilmesini, duyabilmesini ve </w:t>
            </w:r>
            <w:r w:rsidRPr="002E4194">
              <w:rPr>
                <w:rFonts w:ascii="Times New Roman" w:hAnsi="Times New Roman" w:cs="Times New Roman"/>
              </w:rPr>
              <w:t>M</w:t>
            </w:r>
            <w:r w:rsidR="00BE5F02" w:rsidRPr="002E4194">
              <w:rPr>
                <w:rFonts w:ascii="Times New Roman" w:hAnsi="Times New Roman" w:cs="Times New Roman"/>
              </w:rPr>
              <w:t xml:space="preserve">ahkemede bulunan kişiler tarafından görülmesini ve duyulmasını sağlayan video bağlantısı veya başka bir düzenlemeyi anlatır.  Bu </w:t>
            </w:r>
            <w:r w:rsidR="00092EA8" w:rsidRPr="002E4194">
              <w:rPr>
                <w:rFonts w:ascii="Times New Roman" w:hAnsi="Times New Roman" w:cs="Times New Roman"/>
              </w:rPr>
              <w:t>tefsirde geçen</w:t>
            </w:r>
            <w:r w:rsidR="00BE5F02" w:rsidRPr="002E4194">
              <w:rPr>
                <w:rFonts w:ascii="Times New Roman" w:hAnsi="Times New Roman" w:cs="Times New Roman"/>
              </w:rPr>
              <w:t xml:space="preserve"> “</w:t>
            </w:r>
            <w:r w:rsidRPr="002E4194">
              <w:rPr>
                <w:rFonts w:ascii="Times New Roman" w:hAnsi="Times New Roman" w:cs="Times New Roman"/>
              </w:rPr>
              <w:t>M</w:t>
            </w:r>
            <w:r w:rsidR="00BE5F02" w:rsidRPr="002E4194">
              <w:rPr>
                <w:rFonts w:ascii="Times New Roman" w:hAnsi="Times New Roman" w:cs="Times New Roman"/>
              </w:rPr>
              <w:t xml:space="preserve">ahkemede bulunan kişiler” </w:t>
            </w:r>
            <w:r w:rsidR="00092EA8" w:rsidRPr="002E4194">
              <w:rPr>
                <w:rFonts w:ascii="Times New Roman" w:hAnsi="Times New Roman" w:cs="Times New Roman"/>
              </w:rPr>
              <w:t>m</w:t>
            </w:r>
            <w:r w:rsidR="00BE5F02" w:rsidRPr="002E4194">
              <w:rPr>
                <w:rFonts w:ascii="Times New Roman" w:hAnsi="Times New Roman" w:cs="Times New Roman"/>
              </w:rPr>
              <w:t xml:space="preserve">ahkemeyi, </w:t>
            </w:r>
            <w:r w:rsidR="00092EA8" w:rsidRPr="002E4194">
              <w:rPr>
                <w:rFonts w:ascii="Times New Roman" w:hAnsi="Times New Roman" w:cs="Times New Roman"/>
              </w:rPr>
              <w:t>d</w:t>
            </w:r>
            <w:r w:rsidR="00BE5F02" w:rsidRPr="002E4194">
              <w:rPr>
                <w:rFonts w:ascii="Times New Roman" w:hAnsi="Times New Roman" w:cs="Times New Roman"/>
              </w:rPr>
              <w:t xml:space="preserve">avacıyı, </w:t>
            </w:r>
            <w:r w:rsidR="00092EA8" w:rsidRPr="002E4194">
              <w:rPr>
                <w:rFonts w:ascii="Times New Roman" w:hAnsi="Times New Roman" w:cs="Times New Roman"/>
              </w:rPr>
              <w:t>d</w:t>
            </w:r>
            <w:r w:rsidR="00BE5F02" w:rsidRPr="002E4194">
              <w:rPr>
                <w:rFonts w:ascii="Times New Roman" w:hAnsi="Times New Roman" w:cs="Times New Roman"/>
              </w:rPr>
              <w:t>avalıyı, taraf avukatlarını, tercümanı veya tanığa yardımcı olmak üzere görevlendirilen kişileri anlatır.”</w:t>
            </w:r>
          </w:p>
          <w:p w14:paraId="731AF60E" w14:textId="77777777" w:rsidR="00A74A11" w:rsidRPr="002E4194" w:rsidRDefault="00A74A11" w:rsidP="00A74A11">
            <w:pPr>
              <w:jc w:val="both"/>
              <w:rPr>
                <w:rFonts w:ascii="Times New Roman" w:hAnsi="Times New Roman" w:cs="Times New Roman"/>
              </w:rPr>
            </w:pPr>
          </w:p>
          <w:p w14:paraId="150D25AB" w14:textId="122DEFCC" w:rsidR="00FD1436" w:rsidRPr="002E4194" w:rsidRDefault="00FD1436" w:rsidP="006633BB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Esas Yasa, 20’nci maddesinden hemen sonra aşağıdaki yeni 21’inci madde eklenmek suretiyle değiştirilir:</w:t>
            </w:r>
          </w:p>
          <w:tbl>
            <w:tblPr>
              <w:tblStyle w:val="TabloKlavuzu"/>
              <w:tblW w:w="6555" w:type="dxa"/>
              <w:tblInd w:w="2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2"/>
              <w:gridCol w:w="491"/>
              <w:gridCol w:w="473"/>
              <w:gridCol w:w="4019"/>
            </w:tblGrid>
            <w:tr w:rsidR="002E4194" w:rsidRPr="002E4194" w14:paraId="43FF569B" w14:textId="77777777" w:rsidTr="00975663">
              <w:tc>
                <w:tcPr>
                  <w:tcW w:w="1572" w:type="dxa"/>
                </w:tcPr>
                <w:p w14:paraId="789D97D8" w14:textId="77777777" w:rsidR="00A07132" w:rsidRPr="002E4194" w:rsidRDefault="006633BB" w:rsidP="00F872B0">
                  <w:pPr>
                    <w:rPr>
                      <w:rFonts w:ascii="Times New Roman" w:hAnsi="Times New Roman" w:cs="Times New Roman"/>
                    </w:rPr>
                  </w:pPr>
                  <w:r w:rsidRPr="002E4194">
                    <w:rPr>
                      <w:rFonts w:ascii="Times New Roman" w:hAnsi="Times New Roman" w:cs="Times New Roman"/>
                    </w:rPr>
                    <w:t xml:space="preserve">“Mahkemenin Bir Tanığın </w:t>
                  </w:r>
                  <w:r w:rsidR="00F872B0" w:rsidRPr="002E4194">
                    <w:rPr>
                      <w:rFonts w:ascii="Times New Roman" w:hAnsi="Times New Roman" w:cs="Times New Roman"/>
                    </w:rPr>
                    <w:t xml:space="preserve">Duruşmada </w:t>
                  </w:r>
                  <w:r w:rsidRPr="002E4194">
                    <w:rPr>
                      <w:rFonts w:ascii="Times New Roman" w:hAnsi="Times New Roman" w:cs="Times New Roman"/>
                    </w:rPr>
                    <w:t xml:space="preserve">Video </w:t>
                  </w:r>
                  <w:r w:rsidR="00F240C3" w:rsidRPr="002E4194">
                    <w:rPr>
                      <w:rFonts w:ascii="Times New Roman" w:hAnsi="Times New Roman" w:cs="Times New Roman"/>
                    </w:rPr>
                    <w:t>Yöntemi</w:t>
                  </w:r>
                  <w:r w:rsidRPr="002E4194">
                    <w:rPr>
                      <w:rFonts w:ascii="Times New Roman" w:hAnsi="Times New Roman" w:cs="Times New Roman"/>
                    </w:rPr>
                    <w:t xml:space="preserve"> İle Şahadet Vermesine İzin Vermesi </w:t>
                  </w:r>
                </w:p>
                <w:p w14:paraId="60EC437B" w14:textId="3FE3B7FA" w:rsidR="00785D0B" w:rsidRPr="002E4194" w:rsidRDefault="00C84BEA" w:rsidP="00785D0B">
                  <w:pPr>
                    <w:ind w:left="-237"/>
                    <w:rPr>
                      <w:rFonts w:ascii="Times New Roman" w:hAnsi="Times New Roman" w:cs="Times New Roman"/>
                    </w:rPr>
                  </w:pPr>
                  <w:r w:rsidRPr="002E419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</w:p>
                <w:p w14:paraId="5B2F4F35" w14:textId="3AEE6992" w:rsidR="00C84BEA" w:rsidRPr="002E4194" w:rsidRDefault="00C84BEA" w:rsidP="00C84BEA">
                  <w:pPr>
                    <w:ind w:left="18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1" w:type="dxa"/>
                </w:tcPr>
                <w:p w14:paraId="40FE7FBE" w14:textId="7EAFA48A" w:rsidR="00A07132" w:rsidRPr="002E4194" w:rsidRDefault="006633BB" w:rsidP="00CB3AA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E4194">
                    <w:rPr>
                      <w:rFonts w:ascii="Times New Roman" w:hAnsi="Times New Roman" w:cs="Times New Roman"/>
                    </w:rPr>
                    <w:t>21</w:t>
                  </w:r>
                  <w:r w:rsidR="00A07132" w:rsidRPr="002E419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4492" w:type="dxa"/>
                  <w:gridSpan w:val="2"/>
                </w:tcPr>
                <w:p w14:paraId="46B25F50" w14:textId="249DAD3A" w:rsidR="00A07132" w:rsidRPr="002E4194" w:rsidRDefault="006633BB" w:rsidP="00A07132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2E4194">
                    <w:rPr>
                      <w:rFonts w:ascii="Times New Roman" w:hAnsi="Times New Roman" w:cs="Times New Roman"/>
                    </w:rPr>
                    <w:t xml:space="preserve">Mahkeme hukuk ve aile davalarında, daha etkin yürütülmesi; yargısal masrafların azaltılması ve yargılamada hızlı hareket edilmesi gibi meşru ve temel amaçlar bakımından uygun olacağına kanaat getirmesi halinde, bir tanığın video konferans </w:t>
                  </w:r>
                  <w:r w:rsidR="00760801" w:rsidRPr="002E4194">
                    <w:rPr>
                      <w:rFonts w:ascii="Times New Roman" w:hAnsi="Times New Roman" w:cs="Times New Roman"/>
                    </w:rPr>
                    <w:t>yöntemi</w:t>
                  </w:r>
                  <w:r w:rsidRPr="002E4194">
                    <w:rPr>
                      <w:rFonts w:ascii="Times New Roman" w:hAnsi="Times New Roman" w:cs="Times New Roman"/>
                    </w:rPr>
                    <w:t xml:space="preserve"> ile şahadet vermesine izin verebilir. Bu madde maksatları bakımından izin verilmesi için hukuk ve aile davalarında 1976 Mahkemeler Yasası ve Hukuk Muhakemeleri Usulü Tüzüğü’nde belirtilen kurallar uygulanır.”</w:t>
                  </w:r>
                </w:p>
              </w:tc>
            </w:tr>
            <w:tr w:rsidR="002E4194" w:rsidRPr="002E4194" w14:paraId="273653FB" w14:textId="77777777" w:rsidTr="00975663">
              <w:tc>
                <w:tcPr>
                  <w:tcW w:w="1572" w:type="dxa"/>
                </w:tcPr>
                <w:p w14:paraId="35AA4A48" w14:textId="77777777" w:rsidR="003F71E1" w:rsidRPr="002E4194" w:rsidRDefault="003F71E1" w:rsidP="00CB3AA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1" w:type="dxa"/>
                </w:tcPr>
                <w:p w14:paraId="60F07B0E" w14:textId="77777777" w:rsidR="003F71E1" w:rsidRPr="002E4194" w:rsidRDefault="003F71E1" w:rsidP="00CB3AA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" w:type="dxa"/>
                </w:tcPr>
                <w:p w14:paraId="04ADAC32" w14:textId="77777777" w:rsidR="003F71E1" w:rsidRPr="002E4194" w:rsidRDefault="003F71E1" w:rsidP="00CB3AA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19" w:type="dxa"/>
                </w:tcPr>
                <w:p w14:paraId="15B3A10E" w14:textId="77777777" w:rsidR="003F71E1" w:rsidRPr="002E4194" w:rsidRDefault="003F71E1" w:rsidP="00CB3AA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407901" w14:textId="77777777" w:rsidR="003F71E1" w:rsidRPr="002E4194" w:rsidRDefault="003F71E1" w:rsidP="00CB3A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71E1" w:rsidRPr="002E4194" w14:paraId="0F383153" w14:textId="77777777" w:rsidTr="00975663">
        <w:tc>
          <w:tcPr>
            <w:tcW w:w="1587" w:type="dxa"/>
            <w:gridSpan w:val="2"/>
          </w:tcPr>
          <w:p w14:paraId="76B5467F" w14:textId="77777777" w:rsidR="00F007C1" w:rsidRPr="002E4194" w:rsidRDefault="003F71E1" w:rsidP="00795CBB">
            <w:pPr>
              <w:ind w:right="-82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 xml:space="preserve">Yürürlüğe </w:t>
            </w:r>
          </w:p>
          <w:p w14:paraId="235E602A" w14:textId="77777777" w:rsidR="003F71E1" w:rsidRPr="002E4194" w:rsidRDefault="003F71E1" w:rsidP="00795CBB">
            <w:pPr>
              <w:ind w:right="-82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Giriş</w:t>
            </w:r>
          </w:p>
        </w:tc>
        <w:tc>
          <w:tcPr>
            <w:tcW w:w="411" w:type="dxa"/>
          </w:tcPr>
          <w:p w14:paraId="769BDFA1" w14:textId="77777777" w:rsidR="003F71E1" w:rsidRPr="002E4194" w:rsidRDefault="00BC56ED" w:rsidP="00CB3AAA">
            <w:pPr>
              <w:jc w:val="center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hAnsi="Times New Roman" w:cs="Times New Roman"/>
              </w:rPr>
              <w:t>4</w:t>
            </w:r>
            <w:r w:rsidR="003F71E1" w:rsidRPr="002E41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69" w:type="dxa"/>
          </w:tcPr>
          <w:p w14:paraId="54DF226A" w14:textId="77777777" w:rsidR="003F71E1" w:rsidRPr="002E4194" w:rsidRDefault="003F71E1" w:rsidP="00CB3AAA">
            <w:pPr>
              <w:jc w:val="both"/>
              <w:rPr>
                <w:rFonts w:ascii="Times New Roman" w:hAnsi="Times New Roman" w:cs="Times New Roman"/>
              </w:rPr>
            </w:pPr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Bu </w:t>
            </w:r>
            <w:proofErr w:type="spellStart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Yasa</w:t>
            </w:r>
            <w:proofErr w:type="spellEnd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Resmi</w:t>
            </w:r>
            <w:proofErr w:type="spellEnd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Gazete’de</w:t>
            </w:r>
            <w:proofErr w:type="spellEnd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yayımlandığı</w:t>
            </w:r>
            <w:proofErr w:type="spellEnd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tarihten</w:t>
            </w:r>
            <w:proofErr w:type="spellEnd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başlayarak</w:t>
            </w:r>
            <w:proofErr w:type="spellEnd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yürürlüğe</w:t>
            </w:r>
            <w:proofErr w:type="spellEnd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girer</w:t>
            </w:r>
            <w:proofErr w:type="spellEnd"/>
            <w:r w:rsidRPr="002E4194"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</w:tr>
    </w:tbl>
    <w:p w14:paraId="79C8F771" w14:textId="77777777" w:rsidR="007003E4" w:rsidRPr="002E4194" w:rsidRDefault="007003E4" w:rsidP="00A74A11"/>
    <w:sectPr w:rsidR="007003E4" w:rsidRPr="002E4194" w:rsidSect="00A74A11"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B9"/>
    <w:rsid w:val="00007530"/>
    <w:rsid w:val="00021AA3"/>
    <w:rsid w:val="00044BBA"/>
    <w:rsid w:val="0006012F"/>
    <w:rsid w:val="00087789"/>
    <w:rsid w:val="00092EA8"/>
    <w:rsid w:val="001505FA"/>
    <w:rsid w:val="00180A0A"/>
    <w:rsid w:val="001A3DF9"/>
    <w:rsid w:val="001B0AC4"/>
    <w:rsid w:val="001C048F"/>
    <w:rsid w:val="00204F24"/>
    <w:rsid w:val="00206C7C"/>
    <w:rsid w:val="00240955"/>
    <w:rsid w:val="002806D0"/>
    <w:rsid w:val="002917AF"/>
    <w:rsid w:val="002A73B9"/>
    <w:rsid w:val="002E4194"/>
    <w:rsid w:val="002F33ED"/>
    <w:rsid w:val="00326A46"/>
    <w:rsid w:val="003B1F92"/>
    <w:rsid w:val="003F71E1"/>
    <w:rsid w:val="00421ED8"/>
    <w:rsid w:val="00433FB5"/>
    <w:rsid w:val="004C0252"/>
    <w:rsid w:val="00550B57"/>
    <w:rsid w:val="00586E31"/>
    <w:rsid w:val="00630848"/>
    <w:rsid w:val="00631301"/>
    <w:rsid w:val="006406E8"/>
    <w:rsid w:val="006633BB"/>
    <w:rsid w:val="00677998"/>
    <w:rsid w:val="0069735C"/>
    <w:rsid w:val="006C0543"/>
    <w:rsid w:val="006F1AE2"/>
    <w:rsid w:val="007003E4"/>
    <w:rsid w:val="00700DCB"/>
    <w:rsid w:val="00741AE2"/>
    <w:rsid w:val="00745785"/>
    <w:rsid w:val="00755436"/>
    <w:rsid w:val="00760801"/>
    <w:rsid w:val="007647AF"/>
    <w:rsid w:val="00783256"/>
    <w:rsid w:val="00785D0B"/>
    <w:rsid w:val="00790BB4"/>
    <w:rsid w:val="00795CBB"/>
    <w:rsid w:val="00812F19"/>
    <w:rsid w:val="008137AB"/>
    <w:rsid w:val="008A1BBA"/>
    <w:rsid w:val="008E2476"/>
    <w:rsid w:val="0093583B"/>
    <w:rsid w:val="00956261"/>
    <w:rsid w:val="00975663"/>
    <w:rsid w:val="00994C3C"/>
    <w:rsid w:val="00A07132"/>
    <w:rsid w:val="00A131A6"/>
    <w:rsid w:val="00A566BE"/>
    <w:rsid w:val="00A74A11"/>
    <w:rsid w:val="00AF3525"/>
    <w:rsid w:val="00B4164C"/>
    <w:rsid w:val="00B53581"/>
    <w:rsid w:val="00BC56ED"/>
    <w:rsid w:val="00BE5F02"/>
    <w:rsid w:val="00C84BEA"/>
    <w:rsid w:val="00CA1C82"/>
    <w:rsid w:val="00D30161"/>
    <w:rsid w:val="00D65F7F"/>
    <w:rsid w:val="00D713C2"/>
    <w:rsid w:val="00D77C0E"/>
    <w:rsid w:val="00E41257"/>
    <w:rsid w:val="00E52AA6"/>
    <w:rsid w:val="00E618A0"/>
    <w:rsid w:val="00E9110C"/>
    <w:rsid w:val="00ED5ACF"/>
    <w:rsid w:val="00F007C1"/>
    <w:rsid w:val="00F075E2"/>
    <w:rsid w:val="00F240C3"/>
    <w:rsid w:val="00F26635"/>
    <w:rsid w:val="00F554DC"/>
    <w:rsid w:val="00F872B0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FC69"/>
  <w15:docId w15:val="{C47D1EFB-9A7B-43DF-B8B5-98CC450D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ronaldinho424</cp:lastModifiedBy>
  <cp:revision>2</cp:revision>
  <cp:lastPrinted>2026-01-28T10:25:00Z</cp:lastPrinted>
  <dcterms:created xsi:type="dcterms:W3CDTF">2026-02-27T11:50:00Z</dcterms:created>
  <dcterms:modified xsi:type="dcterms:W3CDTF">2026-02-27T11:50:00Z</dcterms:modified>
</cp:coreProperties>
</file>