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2C788" w14:textId="77777777" w:rsidR="00A1366B" w:rsidRPr="00965A3B" w:rsidRDefault="004904B2" w:rsidP="006C26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BASIN </w:t>
      </w:r>
      <w:r w:rsidR="00272C05">
        <w:rPr>
          <w:rFonts w:ascii="Times New Roman" w:hAnsi="Times New Roman" w:cs="Times New Roman"/>
          <w:b/>
          <w:bCs/>
          <w:sz w:val="24"/>
          <w:szCs w:val="24"/>
        </w:rPr>
        <w:t>İŞ (DEĞİŞİKLİK) Y</w:t>
      </w:r>
      <w:r w:rsidR="00A1366B" w:rsidRPr="00965A3B">
        <w:rPr>
          <w:rFonts w:ascii="Times New Roman" w:hAnsi="Times New Roman" w:cs="Times New Roman"/>
          <w:b/>
          <w:bCs/>
          <w:sz w:val="24"/>
          <w:szCs w:val="24"/>
        </w:rPr>
        <w:t>ASA TASARISI</w:t>
      </w:r>
    </w:p>
    <w:p w14:paraId="705D5743" w14:textId="77777777" w:rsidR="006C4367" w:rsidRPr="00965A3B" w:rsidRDefault="006C4367" w:rsidP="006C26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9A1A5" w14:textId="77777777" w:rsidR="00A1366B" w:rsidRPr="00965A3B" w:rsidRDefault="00D3085B" w:rsidP="006C266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5A3B">
        <w:rPr>
          <w:rFonts w:ascii="Times New Roman" w:hAnsi="Times New Roman" w:cs="Times New Roman"/>
          <w:b/>
          <w:bCs/>
          <w:sz w:val="24"/>
          <w:szCs w:val="24"/>
          <w:u w:val="single"/>
        </w:rPr>
        <w:t>GENEL GERE</w:t>
      </w:r>
      <w:r w:rsidR="00A1366B" w:rsidRPr="00965A3B">
        <w:rPr>
          <w:rFonts w:ascii="Times New Roman" w:hAnsi="Times New Roman" w:cs="Times New Roman"/>
          <w:b/>
          <w:bCs/>
          <w:sz w:val="24"/>
          <w:szCs w:val="24"/>
          <w:u w:val="single"/>
        </w:rPr>
        <w:t>KÇE</w:t>
      </w:r>
    </w:p>
    <w:p w14:paraId="68EB1DF7" w14:textId="77D81F2C" w:rsidR="00D2629D" w:rsidRDefault="008F4783" w:rsidP="006C26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6CF">
        <w:rPr>
          <w:rFonts w:ascii="Times New Roman" w:hAnsi="Times New Roman" w:cs="Times New Roman"/>
          <w:sz w:val="24"/>
          <w:szCs w:val="24"/>
        </w:rPr>
        <w:t xml:space="preserve">Yürürlükteki </w:t>
      </w:r>
      <w:r w:rsidR="00057000">
        <w:rPr>
          <w:rFonts w:ascii="Times New Roman" w:hAnsi="Times New Roman" w:cs="Times New Roman"/>
          <w:sz w:val="24"/>
          <w:szCs w:val="24"/>
        </w:rPr>
        <w:t>44/2007 sayılı İş Yasası madde</w:t>
      </w:r>
      <w:r w:rsidR="00CB2767">
        <w:rPr>
          <w:rFonts w:ascii="Times New Roman" w:hAnsi="Times New Roman" w:cs="Times New Roman"/>
          <w:sz w:val="24"/>
          <w:szCs w:val="24"/>
        </w:rPr>
        <w:t xml:space="preserve"> 25</w:t>
      </w:r>
      <w:r w:rsidRPr="004E46CF">
        <w:rPr>
          <w:rFonts w:ascii="Times New Roman" w:hAnsi="Times New Roman" w:cs="Times New Roman"/>
          <w:sz w:val="24"/>
          <w:szCs w:val="24"/>
        </w:rPr>
        <w:t xml:space="preserve"> kapsamında</w:t>
      </w:r>
      <w:r w:rsidR="00AE5D53">
        <w:rPr>
          <w:rFonts w:ascii="Times New Roman" w:hAnsi="Times New Roman" w:cs="Times New Roman"/>
          <w:sz w:val="24"/>
          <w:szCs w:val="24"/>
        </w:rPr>
        <w:t xml:space="preserve"> </w:t>
      </w:r>
      <w:r w:rsidR="004904B2">
        <w:rPr>
          <w:rFonts w:ascii="Times New Roman" w:hAnsi="Times New Roman" w:cs="Times New Roman"/>
          <w:sz w:val="24"/>
          <w:szCs w:val="24"/>
        </w:rPr>
        <w:t xml:space="preserve">Basın </w:t>
      </w:r>
      <w:r w:rsidR="00272C05">
        <w:rPr>
          <w:rFonts w:ascii="Times New Roman" w:hAnsi="Times New Roman" w:cs="Times New Roman"/>
          <w:sz w:val="24"/>
          <w:szCs w:val="24"/>
        </w:rPr>
        <w:t xml:space="preserve">İş hayatında çalışan kişilerin </w:t>
      </w:r>
      <w:r w:rsidR="00D2629D">
        <w:rPr>
          <w:rFonts w:ascii="Times New Roman" w:hAnsi="Times New Roman" w:cs="Times New Roman"/>
          <w:sz w:val="24"/>
          <w:szCs w:val="24"/>
        </w:rPr>
        <w:t>hakettiği ücretlerin</w:t>
      </w:r>
      <w:r w:rsidR="004904B2">
        <w:rPr>
          <w:rFonts w:ascii="Times New Roman" w:hAnsi="Times New Roman" w:cs="Times New Roman"/>
          <w:sz w:val="24"/>
          <w:szCs w:val="24"/>
        </w:rPr>
        <w:t>ödeme biçimleri</w:t>
      </w:r>
      <w:r w:rsidR="00D2629D">
        <w:rPr>
          <w:rFonts w:ascii="Times New Roman" w:hAnsi="Times New Roman" w:cs="Times New Roman"/>
          <w:sz w:val="24"/>
          <w:szCs w:val="24"/>
        </w:rPr>
        <w:t xml:space="preserve"> esnasında karşılaşabilecekleri sorunları ortadan kaldırmak, çalışana ödenen</w:t>
      </w:r>
      <w:r w:rsidR="00227CFD">
        <w:rPr>
          <w:rFonts w:ascii="Times New Roman" w:hAnsi="Times New Roman" w:cs="Times New Roman"/>
          <w:sz w:val="24"/>
          <w:szCs w:val="24"/>
        </w:rPr>
        <w:t xml:space="preserve"> </w:t>
      </w:r>
      <w:r w:rsidR="004904B2">
        <w:rPr>
          <w:rFonts w:ascii="Times New Roman" w:hAnsi="Times New Roman" w:cs="Times New Roman"/>
          <w:sz w:val="24"/>
          <w:szCs w:val="24"/>
        </w:rPr>
        <w:t>ücretin</w:t>
      </w:r>
      <w:r w:rsidR="00227C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A36D1">
        <w:rPr>
          <w:rFonts w:ascii="Times New Roman" w:hAnsi="Times New Roman" w:cs="Times New Roman"/>
          <w:sz w:val="24"/>
          <w:szCs w:val="24"/>
        </w:rPr>
        <w:t xml:space="preserve">tanımı, ödeme biçimi, </w:t>
      </w:r>
      <w:r w:rsidR="00D2629D">
        <w:rPr>
          <w:rFonts w:ascii="Times New Roman" w:hAnsi="Times New Roman" w:cs="Times New Roman"/>
          <w:sz w:val="24"/>
          <w:szCs w:val="24"/>
        </w:rPr>
        <w:t>takibi ve denetimi açısından son dönemlerde yapılan denetimlerde ortaya ciddi zorluklar çıkmaktadır. İşveren tarafından yapılan ödemelerin ve/veya çalışan tarafından ödenmediği iddia edilen ücretlerin ıspatı aşamasında doğan ve/veya doğabilecek olan zorlukların ortadan kaldırılması amacı ile böyle bir değişikliğin yapılması zaruri hale gelmiştir.</w:t>
      </w:r>
      <w:r w:rsidR="00AE5D53">
        <w:rPr>
          <w:rFonts w:ascii="Times New Roman" w:hAnsi="Times New Roman" w:cs="Times New Roman"/>
          <w:sz w:val="24"/>
          <w:szCs w:val="24"/>
        </w:rPr>
        <w:t xml:space="preserve"> </w:t>
      </w:r>
      <w:r w:rsidR="00D2629D">
        <w:rPr>
          <w:rFonts w:ascii="Times New Roman" w:hAnsi="Times New Roman" w:cs="Times New Roman"/>
          <w:sz w:val="24"/>
          <w:szCs w:val="24"/>
        </w:rPr>
        <w:t xml:space="preserve">Bu gerekçe ile yasanın </w:t>
      </w:r>
      <w:r w:rsidR="004904B2">
        <w:rPr>
          <w:rFonts w:ascii="Times New Roman" w:hAnsi="Times New Roman" w:cs="Times New Roman"/>
          <w:sz w:val="24"/>
          <w:szCs w:val="24"/>
        </w:rPr>
        <w:t>‘Ücret</w:t>
      </w:r>
      <w:r w:rsidR="00BA36D1">
        <w:rPr>
          <w:rFonts w:ascii="Times New Roman" w:hAnsi="Times New Roman" w:cs="Times New Roman"/>
          <w:sz w:val="24"/>
          <w:szCs w:val="24"/>
        </w:rPr>
        <w:t>in Tanımı ve Ödeme Biçimi’ yan başlıklı 25</w:t>
      </w:r>
      <w:r w:rsidR="00057000">
        <w:rPr>
          <w:rFonts w:ascii="Times New Roman" w:hAnsi="Times New Roman" w:cs="Times New Roman"/>
          <w:sz w:val="24"/>
          <w:szCs w:val="24"/>
        </w:rPr>
        <w:t>’inci m</w:t>
      </w:r>
      <w:r w:rsidR="00D2629D">
        <w:rPr>
          <w:rFonts w:ascii="Times New Roman" w:hAnsi="Times New Roman" w:cs="Times New Roman"/>
          <w:sz w:val="24"/>
          <w:szCs w:val="24"/>
        </w:rPr>
        <w:t xml:space="preserve">addesi yeniden kaleme alınarak işbu değişiklik yasa tasarısı hazırlanmıştır.  </w:t>
      </w:r>
    </w:p>
    <w:p w14:paraId="1EE98392" w14:textId="77777777" w:rsidR="008F4783" w:rsidRPr="004E46CF" w:rsidRDefault="008F4783" w:rsidP="00272C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6CF">
        <w:rPr>
          <w:rFonts w:ascii="Times New Roman" w:hAnsi="Times New Roman" w:cs="Times New Roman"/>
          <w:sz w:val="24"/>
          <w:szCs w:val="24"/>
        </w:rPr>
        <w:tab/>
      </w:r>
    </w:p>
    <w:p w14:paraId="7F692EA9" w14:textId="77777777" w:rsidR="00D2629D" w:rsidRDefault="00D2629D" w:rsidP="00D26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FF333" w14:textId="77777777" w:rsidR="00D2629D" w:rsidRDefault="00D2629D" w:rsidP="00D26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18AED" w14:textId="77777777" w:rsidR="00D2629D" w:rsidRDefault="00D2629D" w:rsidP="00D26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B5DB3" w14:textId="77777777" w:rsidR="00682DA1" w:rsidRPr="00D2629D" w:rsidRDefault="006C4367" w:rsidP="00D2629D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A3B">
        <w:rPr>
          <w:rFonts w:ascii="Times New Roman" w:hAnsi="Times New Roman" w:cs="Times New Roman"/>
          <w:b/>
          <w:bCs/>
          <w:sz w:val="24"/>
          <w:szCs w:val="24"/>
          <w:u w:val="single"/>
        </w:rPr>
        <w:t>MADDE GEREKÇELERİ</w:t>
      </w:r>
    </w:p>
    <w:p w14:paraId="1E965277" w14:textId="77777777" w:rsidR="006930CC" w:rsidRPr="004E46CF" w:rsidRDefault="006930CC" w:rsidP="006C266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7"/>
      </w:tblGrid>
      <w:tr w:rsidR="004E46CF" w:rsidRPr="004E46CF" w14:paraId="32D2F121" w14:textId="77777777" w:rsidTr="00965A3B">
        <w:tc>
          <w:tcPr>
            <w:tcW w:w="1985" w:type="dxa"/>
          </w:tcPr>
          <w:p w14:paraId="07E6646E" w14:textId="77777777" w:rsidR="006930CC" w:rsidRPr="004E46CF" w:rsidRDefault="006930CC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>Madde 1</w:t>
            </w:r>
            <w:r w:rsidR="004A3AF3" w:rsidRPr="004E4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77" w:type="dxa"/>
          </w:tcPr>
          <w:p w14:paraId="2CA78CD7" w14:textId="77777777" w:rsidR="008F4783" w:rsidRPr="004E46CF" w:rsidRDefault="006930CC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>Yasa’nın kısa ismi belirlenmektedir</w:t>
            </w:r>
            <w:r w:rsidR="008F4783" w:rsidRPr="004E4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12C6" w:rsidRPr="004E46CF" w14:paraId="60D241E8" w14:textId="77777777" w:rsidTr="00965A3B">
        <w:tc>
          <w:tcPr>
            <w:tcW w:w="1985" w:type="dxa"/>
          </w:tcPr>
          <w:p w14:paraId="61795916" w14:textId="77777777" w:rsidR="004012C6" w:rsidRPr="004E46CF" w:rsidRDefault="004012C6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7" w:type="dxa"/>
          </w:tcPr>
          <w:p w14:paraId="075B9E3D" w14:textId="77777777" w:rsidR="004012C6" w:rsidRPr="004E46CF" w:rsidRDefault="004012C6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CF" w:rsidRPr="004E46CF" w14:paraId="27C6A37E" w14:textId="77777777" w:rsidTr="00965A3B">
        <w:tc>
          <w:tcPr>
            <w:tcW w:w="1985" w:type="dxa"/>
          </w:tcPr>
          <w:p w14:paraId="7D374083" w14:textId="77777777" w:rsidR="006930CC" w:rsidRPr="004E46CF" w:rsidRDefault="008F4783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>Madde 2.</w:t>
            </w:r>
          </w:p>
        </w:tc>
        <w:tc>
          <w:tcPr>
            <w:tcW w:w="7077" w:type="dxa"/>
          </w:tcPr>
          <w:p w14:paraId="4BB2DC9F" w14:textId="667C4047" w:rsidR="006930CC" w:rsidRPr="004E46CF" w:rsidRDefault="008F4783" w:rsidP="00057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 xml:space="preserve">Esas Yasa, </w:t>
            </w:r>
            <w:r w:rsidR="00CB2767" w:rsidRPr="00CB2767">
              <w:rPr>
                <w:rFonts w:ascii="Times New Roman" w:hAnsi="Times New Roman" w:cs="Times New Roman"/>
                <w:sz w:val="24"/>
                <w:szCs w:val="24"/>
              </w:rPr>
              <w:t xml:space="preserve">25’inci maddesi (1)’inci fıkrası değiştirilerek yeni 25’nci madde (1)’inci fıkra </w:t>
            </w:r>
            <w:r w:rsidR="00057000">
              <w:rPr>
                <w:rFonts w:ascii="Times New Roman" w:hAnsi="Times New Roman" w:cs="Times New Roman"/>
                <w:sz w:val="24"/>
                <w:szCs w:val="24"/>
              </w:rPr>
              <w:t>konmak</w:t>
            </w:r>
            <w:r w:rsidR="00CB2767" w:rsidRPr="00CB2767">
              <w:rPr>
                <w:rFonts w:ascii="Times New Roman" w:hAnsi="Times New Roman" w:cs="Times New Roman"/>
                <w:sz w:val="24"/>
                <w:szCs w:val="24"/>
              </w:rPr>
              <w:t xml:space="preserve"> suretiyle ve (5)’inci fıkradan sonra yeni (6)’ncı fıkra eklenmek suretiyle </w:t>
            </w:r>
            <w:r w:rsidR="004012C6">
              <w:rPr>
                <w:rFonts w:ascii="Times New Roman" w:hAnsi="Times New Roman" w:cs="Times New Roman"/>
                <w:sz w:val="24"/>
                <w:szCs w:val="24"/>
              </w:rPr>
              <w:t xml:space="preserve">yeniden kaleme alınarak ücretin </w:t>
            </w:r>
            <w:r w:rsidR="000A02B1">
              <w:rPr>
                <w:rFonts w:ascii="Times New Roman" w:hAnsi="Times New Roman" w:cs="Times New Roman"/>
                <w:sz w:val="24"/>
                <w:szCs w:val="24"/>
              </w:rPr>
              <w:t>tanımı ve ödeme biçimi</w:t>
            </w:r>
            <w:r w:rsidR="004012C6">
              <w:rPr>
                <w:rFonts w:ascii="Times New Roman" w:hAnsi="Times New Roman" w:cs="Times New Roman"/>
                <w:sz w:val="24"/>
                <w:szCs w:val="24"/>
              </w:rPr>
              <w:t xml:space="preserve"> düzenlenmiştir.</w:t>
            </w:r>
          </w:p>
        </w:tc>
      </w:tr>
      <w:tr w:rsidR="004012C6" w:rsidRPr="004E46CF" w14:paraId="4A55E65F" w14:textId="77777777" w:rsidTr="00965A3B">
        <w:tc>
          <w:tcPr>
            <w:tcW w:w="1985" w:type="dxa"/>
          </w:tcPr>
          <w:p w14:paraId="0A7AE98D" w14:textId="77777777" w:rsidR="004012C6" w:rsidRPr="004E46CF" w:rsidRDefault="004012C6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7" w:type="dxa"/>
          </w:tcPr>
          <w:p w14:paraId="285E725B" w14:textId="77777777" w:rsidR="004012C6" w:rsidRPr="004E46CF" w:rsidRDefault="004012C6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A3B" w:rsidRPr="004E46CF" w14:paraId="66BA3CAC" w14:textId="77777777" w:rsidTr="00965A3B">
        <w:tc>
          <w:tcPr>
            <w:tcW w:w="1985" w:type="dxa"/>
          </w:tcPr>
          <w:p w14:paraId="5C73B821" w14:textId="77777777" w:rsidR="004D7A68" w:rsidRPr="004E46CF" w:rsidRDefault="004D7A68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 xml:space="preserve">Madde </w:t>
            </w:r>
            <w:r w:rsidR="00272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3AF3" w:rsidRPr="004E4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77" w:type="dxa"/>
          </w:tcPr>
          <w:p w14:paraId="5E6BC039" w14:textId="77777777" w:rsidR="004D7A68" w:rsidRPr="004E46CF" w:rsidRDefault="004D7A68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>Yasa’nın yürürlüğe girişi düzenlenmiştir</w:t>
            </w:r>
            <w:r w:rsidR="00E130DF" w:rsidRPr="004E4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1B676E4" w14:textId="77777777" w:rsidR="006930CC" w:rsidRPr="004E46CF" w:rsidRDefault="006930CC" w:rsidP="006C26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BCB97" w14:textId="77777777" w:rsidR="006930CC" w:rsidRPr="004E46CF" w:rsidRDefault="006930CC" w:rsidP="006C2669">
      <w:pPr>
        <w:rPr>
          <w:rFonts w:ascii="Times New Roman" w:hAnsi="Times New Roman" w:cs="Times New Roman"/>
          <w:sz w:val="24"/>
          <w:szCs w:val="24"/>
        </w:rPr>
      </w:pPr>
      <w:r w:rsidRPr="004E46CF">
        <w:rPr>
          <w:rFonts w:ascii="Times New Roman" w:hAnsi="Times New Roman" w:cs="Times New Roman"/>
          <w:sz w:val="24"/>
          <w:szCs w:val="24"/>
        </w:rPr>
        <w:br w:type="page"/>
      </w:r>
    </w:p>
    <w:p w14:paraId="19BE33A1" w14:textId="2A521E80" w:rsidR="006C4367" w:rsidRPr="00DA018A" w:rsidRDefault="00057000" w:rsidP="006C26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BASIN</w:t>
      </w:r>
      <w:r w:rsidR="00AE5D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İŞ (DEĞİŞİKLİK) YASA TASARISI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404"/>
        <w:gridCol w:w="415"/>
        <w:gridCol w:w="81"/>
        <w:gridCol w:w="20"/>
        <w:gridCol w:w="496"/>
        <w:gridCol w:w="387"/>
        <w:gridCol w:w="516"/>
        <w:gridCol w:w="496"/>
        <w:gridCol w:w="4681"/>
      </w:tblGrid>
      <w:tr w:rsidR="004E46CF" w:rsidRPr="004E46CF" w14:paraId="1E4EC27E" w14:textId="77777777" w:rsidTr="002855EC">
        <w:tc>
          <w:tcPr>
            <w:tcW w:w="9072" w:type="dxa"/>
            <w:gridSpan w:val="10"/>
          </w:tcPr>
          <w:p w14:paraId="663FF239" w14:textId="77777777" w:rsidR="00775863" w:rsidRDefault="00775863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Kuzey Kıbrıs Türk Cumhuriyeti </w:t>
            </w:r>
            <w:r w:rsidR="00057000">
              <w:rPr>
                <w:rFonts w:ascii="Times New Roman" w:hAnsi="Times New Roman" w:cs="Times New Roman"/>
                <w:sz w:val="24"/>
                <w:szCs w:val="24"/>
              </w:rPr>
              <w:t>Cumhuriyet Meclisi aşağıdaki Y</w:t>
            </w: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>asayı yapar:</w:t>
            </w:r>
          </w:p>
          <w:p w14:paraId="30CF5DD0" w14:textId="77777777" w:rsidR="00AE5D53" w:rsidRPr="004E46CF" w:rsidRDefault="00AE5D53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9D" w:rsidRPr="004E46CF" w14:paraId="06D887C0" w14:textId="77777777" w:rsidTr="004904B2">
        <w:tc>
          <w:tcPr>
            <w:tcW w:w="1576" w:type="dxa"/>
          </w:tcPr>
          <w:p w14:paraId="4E880BA7" w14:textId="77777777" w:rsidR="00015A45" w:rsidRPr="004E46CF" w:rsidRDefault="00015A45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>Kısa İsim</w:t>
            </w:r>
          </w:p>
          <w:p w14:paraId="5433E221" w14:textId="77777777" w:rsidR="00015A45" w:rsidRDefault="004904B2" w:rsidP="007A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44/2007</w:t>
            </w:r>
          </w:p>
          <w:p w14:paraId="6576EB5F" w14:textId="77777777" w:rsidR="00CD5061" w:rsidRPr="004E46CF" w:rsidRDefault="00CD5061" w:rsidP="00A9614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4" w:type="dxa"/>
          </w:tcPr>
          <w:p w14:paraId="1E307E1F" w14:textId="77777777" w:rsidR="00015A45" w:rsidRPr="004E46CF" w:rsidRDefault="00015A45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092" w:type="dxa"/>
            <w:gridSpan w:val="8"/>
          </w:tcPr>
          <w:p w14:paraId="4563203C" w14:textId="6B724FA9" w:rsidR="00015A45" w:rsidRPr="004E46CF" w:rsidRDefault="00057000" w:rsidP="00272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Y</w:t>
            </w:r>
            <w:r w:rsidR="00015A45" w:rsidRPr="004E46CF">
              <w:rPr>
                <w:rFonts w:ascii="Times New Roman" w:hAnsi="Times New Roman" w:cs="Times New Roman"/>
                <w:sz w:val="24"/>
                <w:szCs w:val="24"/>
              </w:rPr>
              <w:t>asa</w:t>
            </w:r>
            <w:r w:rsidR="004904B2">
              <w:rPr>
                <w:rFonts w:ascii="Times New Roman" w:hAnsi="Times New Roman" w:cs="Times New Roman"/>
                <w:sz w:val="24"/>
                <w:szCs w:val="24"/>
              </w:rPr>
              <w:t xml:space="preserve"> Basın</w:t>
            </w:r>
            <w:r w:rsidR="00AE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C05"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r w:rsidR="00015A45" w:rsidRPr="004E46CF">
              <w:rPr>
                <w:rFonts w:ascii="Times New Roman" w:hAnsi="Times New Roman" w:cs="Times New Roman"/>
                <w:sz w:val="24"/>
                <w:szCs w:val="24"/>
              </w:rPr>
              <w:t xml:space="preserve"> (Değişiklik) Yasası olarak isimlendirilir ve aşağıda “Esas Yasa” olarak anılan </w:t>
            </w:r>
            <w:r w:rsidR="004904B2">
              <w:rPr>
                <w:rFonts w:ascii="Times New Roman" w:hAnsi="Times New Roman" w:cs="Times New Roman"/>
                <w:sz w:val="24"/>
                <w:szCs w:val="24"/>
              </w:rPr>
              <w:t xml:space="preserve">Basın </w:t>
            </w:r>
            <w:r w:rsidR="00272C05"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r w:rsidR="00015A45" w:rsidRPr="004E46CF">
              <w:rPr>
                <w:rFonts w:ascii="Times New Roman" w:hAnsi="Times New Roman" w:cs="Times New Roman"/>
                <w:sz w:val="24"/>
                <w:szCs w:val="24"/>
              </w:rPr>
              <w:t xml:space="preserve"> Yasası ile birlikte okunur.</w:t>
            </w:r>
          </w:p>
        </w:tc>
      </w:tr>
      <w:tr w:rsidR="00A9614F" w:rsidRPr="004E46CF" w14:paraId="6E25701B" w14:textId="77777777" w:rsidTr="004904B2">
        <w:tc>
          <w:tcPr>
            <w:tcW w:w="1576" w:type="dxa"/>
          </w:tcPr>
          <w:p w14:paraId="3BDC7E15" w14:textId="77777777" w:rsidR="00A9614F" w:rsidRPr="004E46CF" w:rsidRDefault="00A9614F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14DDC15A" w14:textId="77777777" w:rsidR="00A9614F" w:rsidRPr="004E46CF" w:rsidRDefault="00A9614F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  <w:gridSpan w:val="8"/>
          </w:tcPr>
          <w:p w14:paraId="1A4F4562" w14:textId="77777777" w:rsidR="00A9614F" w:rsidRPr="004E46CF" w:rsidRDefault="00A9614F" w:rsidP="00272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00" w:rsidRPr="004E46CF" w14:paraId="56FF91AE" w14:textId="77777777" w:rsidTr="00057000">
        <w:tc>
          <w:tcPr>
            <w:tcW w:w="1576" w:type="dxa"/>
          </w:tcPr>
          <w:p w14:paraId="2D4A9BCB" w14:textId="77777777" w:rsidR="00057000" w:rsidRPr="004E46CF" w:rsidRDefault="00057000" w:rsidP="00A9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>Esas Yasa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nın 25</w:t>
            </w: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inci </w:t>
            </w: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sinin Değiştirilmesi</w:t>
            </w:r>
          </w:p>
        </w:tc>
        <w:tc>
          <w:tcPr>
            <w:tcW w:w="404" w:type="dxa"/>
          </w:tcPr>
          <w:p w14:paraId="22478873" w14:textId="77777777" w:rsidR="00057000" w:rsidRPr="004E46CF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" w:type="dxa"/>
            <w:gridSpan w:val="2"/>
          </w:tcPr>
          <w:p w14:paraId="2D4A651E" w14:textId="77777777" w:rsidR="00057000" w:rsidRPr="004E46CF" w:rsidRDefault="00057000" w:rsidP="00057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6596" w:type="dxa"/>
            <w:gridSpan w:val="6"/>
          </w:tcPr>
          <w:p w14:paraId="1A15F25D" w14:textId="1B66FDD5" w:rsidR="00057000" w:rsidRPr="004E46CF" w:rsidRDefault="00057000" w:rsidP="00057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000">
              <w:rPr>
                <w:rFonts w:ascii="Times New Roman" w:hAnsi="Times New Roman" w:cs="Times New Roman"/>
                <w:sz w:val="24"/>
                <w:szCs w:val="24"/>
              </w:rPr>
              <w:t>Esas Yasa, 25’inci maddesinin (1)’inci fıkrası kaldırılmak ve yerine aşağıdaki yeni (1)’inci fıkra konmak suretiyle değiştirilir:</w:t>
            </w:r>
          </w:p>
        </w:tc>
      </w:tr>
      <w:tr w:rsidR="00ED796C" w:rsidRPr="004E46CF" w14:paraId="11BE3A3F" w14:textId="77777777" w:rsidTr="004904B2">
        <w:tc>
          <w:tcPr>
            <w:tcW w:w="1576" w:type="dxa"/>
          </w:tcPr>
          <w:p w14:paraId="2584AD62" w14:textId="77777777" w:rsidR="00ED796C" w:rsidRPr="004E46CF" w:rsidRDefault="00ED796C" w:rsidP="00A96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6DFC5507" w14:textId="77777777" w:rsidR="00ED796C" w:rsidRPr="004E46CF" w:rsidRDefault="00ED796C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  <w:gridSpan w:val="8"/>
          </w:tcPr>
          <w:p w14:paraId="0456D1E0" w14:textId="77777777" w:rsidR="00ED796C" w:rsidRPr="004E46CF" w:rsidRDefault="00ED796C" w:rsidP="007A3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00" w:rsidRPr="004E46CF" w14:paraId="673D17D5" w14:textId="77777777" w:rsidTr="00057000">
        <w:tc>
          <w:tcPr>
            <w:tcW w:w="1576" w:type="dxa"/>
          </w:tcPr>
          <w:p w14:paraId="49CD3B62" w14:textId="77777777" w:rsidR="00057000" w:rsidRPr="004E46CF" w:rsidRDefault="00057000" w:rsidP="006C2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616BF6CA" w14:textId="77777777" w:rsidR="00057000" w:rsidRPr="004E46CF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3"/>
          </w:tcPr>
          <w:p w14:paraId="05E79B92" w14:textId="77777777" w:rsidR="00057000" w:rsidRPr="004E46CF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2147F101" w14:textId="5F078747" w:rsidR="00057000" w:rsidRPr="004E46CF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6080" w:type="dxa"/>
            <w:gridSpan w:val="4"/>
          </w:tcPr>
          <w:p w14:paraId="5FF57958" w14:textId="77777777" w:rsidR="00057000" w:rsidRPr="00D2629D" w:rsidRDefault="00057000" w:rsidP="00DC0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Genel anlamda ücret, bir kimseye bir iş veya hizmet karşılığında işveren ve/veya üçüncü kişiler tarafından sağlanan ve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nakden veya banka veya kooperatifler aracılığıyla ödenen miktarı kapsar.</w:t>
            </w:r>
          </w:p>
        </w:tc>
      </w:tr>
      <w:tr w:rsidR="00057000" w:rsidRPr="004E46CF" w14:paraId="281F322F" w14:textId="77777777" w:rsidTr="004904B2">
        <w:tc>
          <w:tcPr>
            <w:tcW w:w="1576" w:type="dxa"/>
          </w:tcPr>
          <w:p w14:paraId="2DC831AD" w14:textId="77777777" w:rsidR="00057000" w:rsidRPr="004E46CF" w:rsidRDefault="00057000" w:rsidP="006C2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742697E1" w14:textId="77777777" w:rsidR="00057000" w:rsidRPr="004E46CF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14:paraId="079D915F" w14:textId="77777777" w:rsidR="00057000" w:rsidRPr="004E46CF" w:rsidRDefault="00057000" w:rsidP="000A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42DE9C17" w14:textId="77777777" w:rsidR="00057000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7116E922" w14:textId="77777777" w:rsidR="00057000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14:paraId="16FAA1D5" w14:textId="77777777" w:rsidR="00057000" w:rsidRPr="000A02B1" w:rsidRDefault="00057000" w:rsidP="00DC0A7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57000" w:rsidRPr="004E46CF" w14:paraId="2B8174F2" w14:textId="77777777" w:rsidTr="00057000">
        <w:tc>
          <w:tcPr>
            <w:tcW w:w="1576" w:type="dxa"/>
          </w:tcPr>
          <w:p w14:paraId="4FD50BB1" w14:textId="77777777" w:rsidR="00057000" w:rsidRPr="004E46CF" w:rsidRDefault="00057000" w:rsidP="006C2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3B2E5E3E" w14:textId="77777777" w:rsidR="00057000" w:rsidRPr="004E46CF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14:paraId="7CE23B4C" w14:textId="77777777" w:rsidR="00057000" w:rsidRPr="000A02B1" w:rsidRDefault="00057000" w:rsidP="00057000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(2) </w:t>
            </w:r>
          </w:p>
        </w:tc>
        <w:tc>
          <w:tcPr>
            <w:tcW w:w="6596" w:type="dxa"/>
            <w:gridSpan w:val="6"/>
          </w:tcPr>
          <w:p w14:paraId="0E09DD74" w14:textId="3EDD985E" w:rsidR="00057000" w:rsidRPr="000A02B1" w:rsidRDefault="00057000" w:rsidP="00057000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57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Esas Yasa, 25’inci maddesinin (5)’inci fıkrasından hemen sonra aşağıdaki yeni (6)’nc</w:t>
            </w:r>
            <w:r w:rsidR="00AE5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ı</w:t>
            </w:r>
            <w:r w:rsidRPr="00057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fıkra eklenmek suretiyle değiştirilir:</w:t>
            </w:r>
          </w:p>
        </w:tc>
      </w:tr>
      <w:tr w:rsidR="00057000" w:rsidRPr="004E46CF" w14:paraId="43456758" w14:textId="77777777" w:rsidTr="004904B2">
        <w:tc>
          <w:tcPr>
            <w:tcW w:w="1576" w:type="dxa"/>
          </w:tcPr>
          <w:p w14:paraId="20703E89" w14:textId="77777777" w:rsidR="00057000" w:rsidRPr="004E46CF" w:rsidRDefault="00057000" w:rsidP="006C2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0D1BC059" w14:textId="77777777" w:rsidR="00057000" w:rsidRPr="004E46CF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14:paraId="7CAEE11B" w14:textId="77777777" w:rsidR="00057000" w:rsidRPr="004E46CF" w:rsidRDefault="00057000" w:rsidP="000A0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BFED3A6" w14:textId="77777777" w:rsidR="00057000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5A0A7779" w14:textId="77777777" w:rsidR="00057000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14:paraId="5E963393" w14:textId="77777777" w:rsidR="00057000" w:rsidRPr="000A02B1" w:rsidRDefault="00057000" w:rsidP="00DC0A7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57000" w:rsidRPr="004E46CF" w14:paraId="6D899472" w14:textId="77777777" w:rsidTr="00057000">
        <w:tc>
          <w:tcPr>
            <w:tcW w:w="1576" w:type="dxa"/>
          </w:tcPr>
          <w:p w14:paraId="589A65BF" w14:textId="77777777" w:rsidR="00057000" w:rsidRPr="004E46CF" w:rsidRDefault="00057000" w:rsidP="006C2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363E34DE" w14:textId="77777777" w:rsidR="00057000" w:rsidRPr="004E46CF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3"/>
          </w:tcPr>
          <w:p w14:paraId="0B7EF262" w14:textId="77777777" w:rsidR="00057000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202542E4" w14:textId="77777777" w:rsidR="00057000" w:rsidRDefault="00057000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6080" w:type="dxa"/>
            <w:gridSpan w:val="4"/>
          </w:tcPr>
          <w:p w14:paraId="5083DB86" w14:textId="77777777" w:rsidR="00057000" w:rsidRPr="000A02B1" w:rsidRDefault="00057000" w:rsidP="00DC0A7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A0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Aynı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basın işverenine</w:t>
            </w:r>
            <w:r w:rsidRPr="000A0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ait işyerlerinde toplam işçi sayısı beş kişiyi aştığı durumlarda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basın işverenleri, </w:t>
            </w:r>
            <w:r w:rsidRPr="000A02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işçilere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o ay içinde yapacakları her türlü ödemenin yasal kesintileri yapıldıktan sonra kalan net tutarını banka veya kooperatiflerde işçi adına açılan hesaplara yatırmakla yükümlüdür.</w:t>
            </w:r>
          </w:p>
        </w:tc>
      </w:tr>
      <w:tr w:rsidR="00D2629D" w:rsidRPr="004E46CF" w14:paraId="0C3036CA" w14:textId="77777777" w:rsidTr="004904B2">
        <w:tc>
          <w:tcPr>
            <w:tcW w:w="1576" w:type="dxa"/>
          </w:tcPr>
          <w:p w14:paraId="5210C16A" w14:textId="77777777" w:rsidR="00D2629D" w:rsidRPr="004E46CF" w:rsidRDefault="00D2629D" w:rsidP="006C2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67D8DDD7" w14:textId="77777777" w:rsidR="00D2629D" w:rsidRPr="004E46CF" w:rsidRDefault="00D2629D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14:paraId="05C37540" w14:textId="77777777" w:rsidR="00D2629D" w:rsidRPr="004E46CF" w:rsidRDefault="00D2629D" w:rsidP="0006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675BA32" w14:textId="77777777" w:rsidR="00D2629D" w:rsidRDefault="00D2629D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5D74CE81" w14:textId="77777777" w:rsidR="00D2629D" w:rsidRDefault="00D2629D" w:rsidP="006C2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14:paraId="6523097F" w14:textId="77777777" w:rsidR="00D2629D" w:rsidRPr="00D2629D" w:rsidRDefault="00D2629D" w:rsidP="00D2629D">
            <w:pPr>
              <w:widowControl w:val="0"/>
              <w:tabs>
                <w:tab w:val="left" w:pos="573"/>
              </w:tabs>
              <w:autoSpaceDE w:val="0"/>
              <w:autoSpaceDN w:val="0"/>
              <w:spacing w:line="242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D2629D" w:rsidRPr="004E46CF" w14:paraId="362439A9" w14:textId="77777777" w:rsidTr="004904B2">
        <w:tc>
          <w:tcPr>
            <w:tcW w:w="1576" w:type="dxa"/>
          </w:tcPr>
          <w:p w14:paraId="30B29B35" w14:textId="77777777" w:rsidR="00AA55D0" w:rsidRPr="004E46CF" w:rsidRDefault="00AA55D0" w:rsidP="00AA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CF">
              <w:rPr>
                <w:rFonts w:ascii="Times New Roman" w:hAnsi="Times New Roman" w:cs="Times New Roman"/>
                <w:sz w:val="24"/>
                <w:szCs w:val="24"/>
              </w:rPr>
              <w:t>Yürürlüğe Giriş</w:t>
            </w:r>
          </w:p>
        </w:tc>
        <w:tc>
          <w:tcPr>
            <w:tcW w:w="819" w:type="dxa"/>
            <w:gridSpan w:val="2"/>
          </w:tcPr>
          <w:p w14:paraId="4EF90018" w14:textId="77777777" w:rsidR="00D844BF" w:rsidRPr="004E46CF" w:rsidRDefault="007A34B8" w:rsidP="00AA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7" w:type="dxa"/>
            <w:gridSpan w:val="7"/>
          </w:tcPr>
          <w:p w14:paraId="41856944" w14:textId="77777777" w:rsidR="00AA55D0" w:rsidRPr="004E46CF" w:rsidRDefault="00AA55D0" w:rsidP="00115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Bu Yasa, </w:t>
            </w:r>
            <w:r w:rsidR="001159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Resmi Gazete</w:t>
            </w:r>
            <w:r w:rsidR="00057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’de yayım</w:t>
            </w:r>
            <w:r w:rsidR="001159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landığı</w:t>
            </w:r>
            <w:r w:rsidRPr="004E46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tarih</w:t>
            </w:r>
            <w:r w:rsidR="00057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ten</w:t>
            </w:r>
            <w:r w:rsidRPr="004E46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başlayarak yürürlüğe girer.</w:t>
            </w:r>
          </w:p>
        </w:tc>
      </w:tr>
    </w:tbl>
    <w:p w14:paraId="26C4C7B6" w14:textId="77777777" w:rsidR="006032D5" w:rsidRPr="004E46CF" w:rsidRDefault="006032D5" w:rsidP="006C26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32D5" w:rsidRPr="004E46CF" w:rsidSect="00DB1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8936D" w14:textId="77777777" w:rsidR="00C73B6A" w:rsidRDefault="00C73B6A" w:rsidP="006032D5">
      <w:pPr>
        <w:spacing w:after="0" w:line="240" w:lineRule="auto"/>
      </w:pPr>
      <w:r>
        <w:separator/>
      </w:r>
    </w:p>
  </w:endnote>
  <w:endnote w:type="continuationSeparator" w:id="0">
    <w:p w14:paraId="00CE167B" w14:textId="77777777" w:rsidR="00C73B6A" w:rsidRDefault="00C73B6A" w:rsidP="0060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E0251" w14:textId="77777777" w:rsidR="00C73B6A" w:rsidRDefault="00C73B6A" w:rsidP="006032D5">
      <w:pPr>
        <w:spacing w:after="0" w:line="240" w:lineRule="auto"/>
      </w:pPr>
      <w:r>
        <w:separator/>
      </w:r>
    </w:p>
  </w:footnote>
  <w:footnote w:type="continuationSeparator" w:id="0">
    <w:p w14:paraId="07AD8CC9" w14:textId="77777777" w:rsidR="00C73B6A" w:rsidRDefault="00C73B6A" w:rsidP="00603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6F6"/>
    <w:multiLevelType w:val="hybridMultilevel"/>
    <w:tmpl w:val="1FEAE05A"/>
    <w:lvl w:ilvl="0" w:tplc="0EF0589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D4267DB"/>
    <w:multiLevelType w:val="hybridMultilevel"/>
    <w:tmpl w:val="BB262726"/>
    <w:lvl w:ilvl="0" w:tplc="40FC967C">
      <w:start w:val="5"/>
      <w:numFmt w:val="decimal"/>
      <w:lvlText w:val="%1."/>
      <w:lvlJc w:val="left"/>
      <w:pPr>
        <w:tabs>
          <w:tab w:val="num" w:pos="433"/>
        </w:tabs>
        <w:ind w:left="433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33"/>
        </w:tabs>
        <w:ind w:left="103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53"/>
        </w:tabs>
        <w:ind w:left="175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73"/>
        </w:tabs>
        <w:ind w:left="247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93"/>
        </w:tabs>
        <w:ind w:left="319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13"/>
        </w:tabs>
        <w:ind w:left="391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33"/>
        </w:tabs>
        <w:ind w:left="463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53"/>
        </w:tabs>
        <w:ind w:left="535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73"/>
        </w:tabs>
        <w:ind w:left="6073" w:hanging="180"/>
      </w:pPr>
    </w:lvl>
  </w:abstractNum>
  <w:abstractNum w:abstractNumId="2" w15:restartNumberingAfterBreak="0">
    <w:nsid w:val="37376CDC"/>
    <w:multiLevelType w:val="hybridMultilevel"/>
    <w:tmpl w:val="108E5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40E7"/>
    <w:multiLevelType w:val="hybridMultilevel"/>
    <w:tmpl w:val="55EC9202"/>
    <w:lvl w:ilvl="0" w:tplc="E6760146">
      <w:start w:val="1"/>
      <w:numFmt w:val="lowerLetter"/>
      <w:lvlText w:val="(%1)"/>
      <w:lvlJc w:val="left"/>
      <w:pPr>
        <w:ind w:left="2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2"/>
        <w:w w:val="100"/>
        <w:sz w:val="24"/>
        <w:szCs w:val="24"/>
        <w:lang w:val="tr-TR" w:eastAsia="en-US" w:bidi="ar-SA"/>
      </w:rPr>
    </w:lvl>
    <w:lvl w:ilvl="1" w:tplc="28E0973E">
      <w:numFmt w:val="bullet"/>
      <w:lvlText w:val="•"/>
      <w:lvlJc w:val="left"/>
      <w:pPr>
        <w:ind w:left="812" w:hanging="360"/>
      </w:pPr>
      <w:rPr>
        <w:rFonts w:hint="default"/>
        <w:lang w:val="tr-TR" w:eastAsia="en-US" w:bidi="ar-SA"/>
      </w:rPr>
    </w:lvl>
    <w:lvl w:ilvl="2" w:tplc="98C41374">
      <w:numFmt w:val="bullet"/>
      <w:lvlText w:val="•"/>
      <w:lvlJc w:val="left"/>
      <w:pPr>
        <w:ind w:left="1405" w:hanging="360"/>
      </w:pPr>
      <w:rPr>
        <w:rFonts w:hint="default"/>
        <w:lang w:val="tr-TR" w:eastAsia="en-US" w:bidi="ar-SA"/>
      </w:rPr>
    </w:lvl>
    <w:lvl w:ilvl="3" w:tplc="A2620B4C">
      <w:numFmt w:val="bullet"/>
      <w:lvlText w:val="•"/>
      <w:lvlJc w:val="left"/>
      <w:pPr>
        <w:ind w:left="1998" w:hanging="360"/>
      </w:pPr>
      <w:rPr>
        <w:rFonts w:hint="default"/>
        <w:lang w:val="tr-TR" w:eastAsia="en-US" w:bidi="ar-SA"/>
      </w:rPr>
    </w:lvl>
    <w:lvl w:ilvl="4" w:tplc="B6461222">
      <w:numFmt w:val="bullet"/>
      <w:lvlText w:val="•"/>
      <w:lvlJc w:val="left"/>
      <w:pPr>
        <w:ind w:left="2591" w:hanging="360"/>
      </w:pPr>
      <w:rPr>
        <w:rFonts w:hint="default"/>
        <w:lang w:val="tr-TR" w:eastAsia="en-US" w:bidi="ar-SA"/>
      </w:rPr>
    </w:lvl>
    <w:lvl w:ilvl="5" w:tplc="117ACDEC">
      <w:numFmt w:val="bullet"/>
      <w:lvlText w:val="•"/>
      <w:lvlJc w:val="left"/>
      <w:pPr>
        <w:ind w:left="3184" w:hanging="360"/>
      </w:pPr>
      <w:rPr>
        <w:rFonts w:hint="default"/>
        <w:lang w:val="tr-TR" w:eastAsia="en-US" w:bidi="ar-SA"/>
      </w:rPr>
    </w:lvl>
    <w:lvl w:ilvl="6" w:tplc="7054A34E">
      <w:numFmt w:val="bullet"/>
      <w:lvlText w:val="•"/>
      <w:lvlJc w:val="left"/>
      <w:pPr>
        <w:ind w:left="3777" w:hanging="360"/>
      </w:pPr>
      <w:rPr>
        <w:rFonts w:hint="default"/>
        <w:lang w:val="tr-TR" w:eastAsia="en-US" w:bidi="ar-SA"/>
      </w:rPr>
    </w:lvl>
    <w:lvl w:ilvl="7" w:tplc="8C120768">
      <w:numFmt w:val="bullet"/>
      <w:lvlText w:val="•"/>
      <w:lvlJc w:val="left"/>
      <w:pPr>
        <w:ind w:left="4370" w:hanging="360"/>
      </w:pPr>
      <w:rPr>
        <w:rFonts w:hint="default"/>
        <w:lang w:val="tr-TR" w:eastAsia="en-US" w:bidi="ar-SA"/>
      </w:rPr>
    </w:lvl>
    <w:lvl w:ilvl="8" w:tplc="6D389D42">
      <w:numFmt w:val="bullet"/>
      <w:lvlText w:val="•"/>
      <w:lvlJc w:val="left"/>
      <w:pPr>
        <w:ind w:left="4963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4D623C0"/>
    <w:multiLevelType w:val="hybridMultilevel"/>
    <w:tmpl w:val="C6D45AC6"/>
    <w:lvl w:ilvl="0" w:tplc="90801414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845AD"/>
    <w:multiLevelType w:val="hybridMultilevel"/>
    <w:tmpl w:val="C062E82A"/>
    <w:lvl w:ilvl="0" w:tplc="0AF00F5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6B"/>
    <w:rsid w:val="00007C34"/>
    <w:rsid w:val="00015A45"/>
    <w:rsid w:val="00026082"/>
    <w:rsid w:val="000357E8"/>
    <w:rsid w:val="00041328"/>
    <w:rsid w:val="00046B86"/>
    <w:rsid w:val="00046C85"/>
    <w:rsid w:val="00057000"/>
    <w:rsid w:val="00063C65"/>
    <w:rsid w:val="00065081"/>
    <w:rsid w:val="00077A69"/>
    <w:rsid w:val="000A02B1"/>
    <w:rsid w:val="000C67E4"/>
    <w:rsid w:val="000D57B9"/>
    <w:rsid w:val="000F1E1F"/>
    <w:rsid w:val="00104B4E"/>
    <w:rsid w:val="001159D0"/>
    <w:rsid w:val="00121D95"/>
    <w:rsid w:val="0012229D"/>
    <w:rsid w:val="001368B4"/>
    <w:rsid w:val="001711DE"/>
    <w:rsid w:val="00174F73"/>
    <w:rsid w:val="00190987"/>
    <w:rsid w:val="001928E5"/>
    <w:rsid w:val="001A6F49"/>
    <w:rsid w:val="001C45AD"/>
    <w:rsid w:val="001D157B"/>
    <w:rsid w:val="001F1CC6"/>
    <w:rsid w:val="00227CFD"/>
    <w:rsid w:val="00234ACF"/>
    <w:rsid w:val="0023719F"/>
    <w:rsid w:val="00241EE7"/>
    <w:rsid w:val="0025045F"/>
    <w:rsid w:val="00272C05"/>
    <w:rsid w:val="002855EC"/>
    <w:rsid w:val="00286E44"/>
    <w:rsid w:val="002A52F6"/>
    <w:rsid w:val="002C6F8E"/>
    <w:rsid w:val="002E380D"/>
    <w:rsid w:val="002F5ED8"/>
    <w:rsid w:val="00300F2B"/>
    <w:rsid w:val="00314FA7"/>
    <w:rsid w:val="003230E7"/>
    <w:rsid w:val="003367F9"/>
    <w:rsid w:val="00356D5A"/>
    <w:rsid w:val="0036586E"/>
    <w:rsid w:val="0037172F"/>
    <w:rsid w:val="00387FBA"/>
    <w:rsid w:val="003934D1"/>
    <w:rsid w:val="003A7C86"/>
    <w:rsid w:val="003B0485"/>
    <w:rsid w:val="004012C6"/>
    <w:rsid w:val="00406D73"/>
    <w:rsid w:val="004105D5"/>
    <w:rsid w:val="004231AA"/>
    <w:rsid w:val="00436149"/>
    <w:rsid w:val="00483446"/>
    <w:rsid w:val="004904B2"/>
    <w:rsid w:val="00492C23"/>
    <w:rsid w:val="0049331E"/>
    <w:rsid w:val="004937D0"/>
    <w:rsid w:val="004A3AF3"/>
    <w:rsid w:val="004A56C0"/>
    <w:rsid w:val="004B6B32"/>
    <w:rsid w:val="004C2BEE"/>
    <w:rsid w:val="004C6B3F"/>
    <w:rsid w:val="004D77C7"/>
    <w:rsid w:val="004D7A68"/>
    <w:rsid w:val="004E46CF"/>
    <w:rsid w:val="004E5ABD"/>
    <w:rsid w:val="004F39DE"/>
    <w:rsid w:val="0050160C"/>
    <w:rsid w:val="00512B0E"/>
    <w:rsid w:val="00516A5A"/>
    <w:rsid w:val="00526E0E"/>
    <w:rsid w:val="00554F44"/>
    <w:rsid w:val="0055623E"/>
    <w:rsid w:val="00561AB9"/>
    <w:rsid w:val="00567439"/>
    <w:rsid w:val="0058788F"/>
    <w:rsid w:val="005C2DFD"/>
    <w:rsid w:val="005C6A3B"/>
    <w:rsid w:val="005D72C3"/>
    <w:rsid w:val="005E0A08"/>
    <w:rsid w:val="006032D5"/>
    <w:rsid w:val="006418C9"/>
    <w:rsid w:val="00665C86"/>
    <w:rsid w:val="00666BFF"/>
    <w:rsid w:val="00682DA1"/>
    <w:rsid w:val="00686F07"/>
    <w:rsid w:val="006930CC"/>
    <w:rsid w:val="006A38E1"/>
    <w:rsid w:val="006A4209"/>
    <w:rsid w:val="006C1DC9"/>
    <w:rsid w:val="006C2669"/>
    <w:rsid w:val="006C4367"/>
    <w:rsid w:val="006E4ABD"/>
    <w:rsid w:val="00700795"/>
    <w:rsid w:val="00731C83"/>
    <w:rsid w:val="007328A4"/>
    <w:rsid w:val="00775863"/>
    <w:rsid w:val="00786CDB"/>
    <w:rsid w:val="007A34B8"/>
    <w:rsid w:val="007B08D6"/>
    <w:rsid w:val="007B1922"/>
    <w:rsid w:val="007C314E"/>
    <w:rsid w:val="007E23DF"/>
    <w:rsid w:val="00804A69"/>
    <w:rsid w:val="008147AD"/>
    <w:rsid w:val="00822DCF"/>
    <w:rsid w:val="00837021"/>
    <w:rsid w:val="008514DC"/>
    <w:rsid w:val="008848DA"/>
    <w:rsid w:val="00885A21"/>
    <w:rsid w:val="00894BC4"/>
    <w:rsid w:val="008A4425"/>
    <w:rsid w:val="008B41F4"/>
    <w:rsid w:val="008C4360"/>
    <w:rsid w:val="008D1B69"/>
    <w:rsid w:val="008E6F1D"/>
    <w:rsid w:val="008F30C1"/>
    <w:rsid w:val="008F4783"/>
    <w:rsid w:val="008F6C26"/>
    <w:rsid w:val="00905E41"/>
    <w:rsid w:val="0091262D"/>
    <w:rsid w:val="00913B93"/>
    <w:rsid w:val="00933729"/>
    <w:rsid w:val="00942DDF"/>
    <w:rsid w:val="00964B4E"/>
    <w:rsid w:val="00965A3B"/>
    <w:rsid w:val="009746EA"/>
    <w:rsid w:val="009A2D86"/>
    <w:rsid w:val="009A7F28"/>
    <w:rsid w:val="009B1756"/>
    <w:rsid w:val="009C293B"/>
    <w:rsid w:val="009D3DF3"/>
    <w:rsid w:val="009E57A9"/>
    <w:rsid w:val="00A073A0"/>
    <w:rsid w:val="00A0792A"/>
    <w:rsid w:val="00A1366B"/>
    <w:rsid w:val="00A26085"/>
    <w:rsid w:val="00A83A98"/>
    <w:rsid w:val="00A9614F"/>
    <w:rsid w:val="00AA55D0"/>
    <w:rsid w:val="00AA6FB7"/>
    <w:rsid w:val="00AB072E"/>
    <w:rsid w:val="00AB0F2D"/>
    <w:rsid w:val="00AC5367"/>
    <w:rsid w:val="00AD3D46"/>
    <w:rsid w:val="00AE4BB0"/>
    <w:rsid w:val="00AE5D53"/>
    <w:rsid w:val="00B169D3"/>
    <w:rsid w:val="00B30D2C"/>
    <w:rsid w:val="00B36604"/>
    <w:rsid w:val="00B418DB"/>
    <w:rsid w:val="00B57657"/>
    <w:rsid w:val="00B75222"/>
    <w:rsid w:val="00B76665"/>
    <w:rsid w:val="00B8212D"/>
    <w:rsid w:val="00BA36D1"/>
    <w:rsid w:val="00BB06E6"/>
    <w:rsid w:val="00BD063D"/>
    <w:rsid w:val="00C04DE3"/>
    <w:rsid w:val="00C2308B"/>
    <w:rsid w:val="00C2426B"/>
    <w:rsid w:val="00C24723"/>
    <w:rsid w:val="00C26B6B"/>
    <w:rsid w:val="00C33B27"/>
    <w:rsid w:val="00C34C77"/>
    <w:rsid w:val="00C35566"/>
    <w:rsid w:val="00C35F62"/>
    <w:rsid w:val="00C369F5"/>
    <w:rsid w:val="00C466BE"/>
    <w:rsid w:val="00C73B6A"/>
    <w:rsid w:val="00C764EF"/>
    <w:rsid w:val="00C813D3"/>
    <w:rsid w:val="00C8461E"/>
    <w:rsid w:val="00C86FEE"/>
    <w:rsid w:val="00CB2767"/>
    <w:rsid w:val="00CB72A6"/>
    <w:rsid w:val="00CB767A"/>
    <w:rsid w:val="00CC64F5"/>
    <w:rsid w:val="00CC7222"/>
    <w:rsid w:val="00CC7EE6"/>
    <w:rsid w:val="00CD5061"/>
    <w:rsid w:val="00CD5383"/>
    <w:rsid w:val="00CF61CB"/>
    <w:rsid w:val="00D067D2"/>
    <w:rsid w:val="00D2629D"/>
    <w:rsid w:val="00D263CA"/>
    <w:rsid w:val="00D3085B"/>
    <w:rsid w:val="00D33CAB"/>
    <w:rsid w:val="00D3634F"/>
    <w:rsid w:val="00D608FC"/>
    <w:rsid w:val="00D73A52"/>
    <w:rsid w:val="00D76AB9"/>
    <w:rsid w:val="00D844BF"/>
    <w:rsid w:val="00DA018A"/>
    <w:rsid w:val="00DB1F0E"/>
    <w:rsid w:val="00DB26A6"/>
    <w:rsid w:val="00DB44B0"/>
    <w:rsid w:val="00DB6660"/>
    <w:rsid w:val="00DB741F"/>
    <w:rsid w:val="00DC0A71"/>
    <w:rsid w:val="00DC38D7"/>
    <w:rsid w:val="00E130DF"/>
    <w:rsid w:val="00E329EC"/>
    <w:rsid w:val="00E35003"/>
    <w:rsid w:val="00E362F9"/>
    <w:rsid w:val="00E63A71"/>
    <w:rsid w:val="00E76C9F"/>
    <w:rsid w:val="00E93FC4"/>
    <w:rsid w:val="00E94269"/>
    <w:rsid w:val="00E94744"/>
    <w:rsid w:val="00EA330D"/>
    <w:rsid w:val="00EB751A"/>
    <w:rsid w:val="00EC1CC0"/>
    <w:rsid w:val="00ED796C"/>
    <w:rsid w:val="00EF4057"/>
    <w:rsid w:val="00EF7203"/>
    <w:rsid w:val="00F21692"/>
    <w:rsid w:val="00F24F6D"/>
    <w:rsid w:val="00F267BE"/>
    <w:rsid w:val="00F40FD6"/>
    <w:rsid w:val="00F51A63"/>
    <w:rsid w:val="00F57527"/>
    <w:rsid w:val="00F61B9C"/>
    <w:rsid w:val="00F70120"/>
    <w:rsid w:val="00F70E52"/>
    <w:rsid w:val="00F834D1"/>
    <w:rsid w:val="00F94ECE"/>
    <w:rsid w:val="00FA15FA"/>
    <w:rsid w:val="00FA3D42"/>
    <w:rsid w:val="00FE5E70"/>
    <w:rsid w:val="00FF6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DD51"/>
  <w15:docId w15:val="{5548D2B0-BEDB-45C5-BC91-FD9CC7E3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F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03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32D5"/>
  </w:style>
  <w:style w:type="paragraph" w:styleId="AltBilgi">
    <w:name w:val="footer"/>
    <w:basedOn w:val="Normal"/>
    <w:link w:val="AltBilgiChar"/>
    <w:unhideWhenUsed/>
    <w:rsid w:val="00603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32D5"/>
  </w:style>
  <w:style w:type="paragraph" w:styleId="ListeParagraf">
    <w:name w:val="List Paragraph"/>
    <w:basedOn w:val="Normal"/>
    <w:uiPriority w:val="34"/>
    <w:qFormat/>
    <w:rsid w:val="007758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AD76A-F1DF-4916-8C2F-F446AA3E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Analiz Systems Özgü LTD.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 Gunduz</dc:creator>
  <cp:lastModifiedBy>ronaldinho424</cp:lastModifiedBy>
  <cp:revision>3</cp:revision>
  <cp:lastPrinted>2024-04-20T12:10:00Z</cp:lastPrinted>
  <dcterms:created xsi:type="dcterms:W3CDTF">2026-04-21T10:14:00Z</dcterms:created>
  <dcterms:modified xsi:type="dcterms:W3CDTF">2026-04-21T10:15:00Z</dcterms:modified>
</cp:coreProperties>
</file>