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817BB" w14:textId="00E6F331" w:rsidR="001820D8" w:rsidRPr="006B2A5D" w:rsidRDefault="00BB0D97" w:rsidP="0011501E">
      <w:pPr>
        <w:spacing w:after="0"/>
        <w:jc w:val="center"/>
        <w:rPr>
          <w:rFonts w:ascii="Times New Roman" w:hAnsi="Times New Roman" w:cs="Times New Roman"/>
          <w:sz w:val="34"/>
          <w:szCs w:val="34"/>
        </w:rPr>
      </w:pPr>
      <w:r w:rsidRPr="00BB0D97">
        <w:rPr>
          <w:rFonts w:ascii="Times New Roman" w:eastAsiaTheme="majorEastAsia" w:hAnsi="Times New Roman" w:cs="Times New Roman" w:hint="cs"/>
          <w:b/>
          <w:bCs/>
          <w:color w:val="17365D"/>
          <w:sz w:val="34"/>
          <w:szCs w:val="34"/>
        </w:rPr>
        <w:t>Ü</w:t>
      </w:r>
      <w:r w:rsidRPr="00BB0D97">
        <w:rPr>
          <w:rFonts w:ascii="Times New Roman" w:eastAsiaTheme="majorEastAsia" w:hAnsi="Times New Roman" w:cs="Times New Roman"/>
          <w:b/>
          <w:bCs/>
          <w:color w:val="17365D"/>
          <w:sz w:val="34"/>
          <w:szCs w:val="34"/>
        </w:rPr>
        <w:t>niversitelerde Kurumsal S</w:t>
      </w:r>
      <w:r w:rsidRPr="00BB0D97">
        <w:rPr>
          <w:rFonts w:ascii="Times New Roman" w:eastAsiaTheme="majorEastAsia" w:hAnsi="Times New Roman" w:cs="Times New Roman" w:hint="cs"/>
          <w:b/>
          <w:bCs/>
          <w:color w:val="17365D"/>
          <w:sz w:val="34"/>
          <w:szCs w:val="34"/>
        </w:rPr>
        <w:t>ü</w:t>
      </w:r>
      <w:r w:rsidRPr="00BB0D97">
        <w:rPr>
          <w:rFonts w:ascii="Times New Roman" w:eastAsiaTheme="majorEastAsia" w:hAnsi="Times New Roman" w:cs="Times New Roman"/>
          <w:b/>
          <w:bCs/>
          <w:color w:val="17365D"/>
          <w:sz w:val="34"/>
          <w:szCs w:val="34"/>
        </w:rPr>
        <w:t>rd</w:t>
      </w:r>
      <w:r w:rsidRPr="00BB0D97">
        <w:rPr>
          <w:rFonts w:ascii="Times New Roman" w:eastAsiaTheme="majorEastAsia" w:hAnsi="Times New Roman" w:cs="Times New Roman" w:hint="cs"/>
          <w:b/>
          <w:bCs/>
          <w:color w:val="17365D"/>
          <w:sz w:val="34"/>
          <w:szCs w:val="34"/>
        </w:rPr>
        <w:t>ü</w:t>
      </w:r>
      <w:r w:rsidRPr="00BB0D97">
        <w:rPr>
          <w:rFonts w:ascii="Times New Roman" w:eastAsiaTheme="majorEastAsia" w:hAnsi="Times New Roman" w:cs="Times New Roman"/>
          <w:b/>
          <w:bCs/>
          <w:color w:val="17365D"/>
          <w:sz w:val="34"/>
          <w:szCs w:val="34"/>
        </w:rPr>
        <w:t>r</w:t>
      </w:r>
      <w:r w:rsidRPr="00BB0D97">
        <w:rPr>
          <w:rFonts w:ascii="Times New Roman" w:eastAsiaTheme="majorEastAsia" w:hAnsi="Times New Roman" w:cs="Times New Roman" w:hint="cs"/>
          <w:b/>
          <w:bCs/>
          <w:color w:val="17365D"/>
          <w:sz w:val="34"/>
          <w:szCs w:val="34"/>
        </w:rPr>
        <w:t>ü</w:t>
      </w:r>
      <w:r w:rsidRPr="00BB0D97">
        <w:rPr>
          <w:rFonts w:ascii="Times New Roman" w:eastAsiaTheme="majorEastAsia" w:hAnsi="Times New Roman" w:cs="Times New Roman"/>
          <w:b/>
          <w:bCs/>
          <w:color w:val="17365D"/>
          <w:sz w:val="34"/>
          <w:szCs w:val="34"/>
        </w:rPr>
        <w:t xml:space="preserve">lebilirlik </w:t>
      </w:r>
      <w:r w:rsidRPr="00BB0D97">
        <w:rPr>
          <w:rFonts w:ascii="Times New Roman" w:eastAsiaTheme="majorEastAsia" w:hAnsi="Times New Roman" w:cs="Times New Roman" w:hint="cs"/>
          <w:b/>
          <w:bCs/>
          <w:color w:val="17365D"/>
          <w:sz w:val="34"/>
          <w:szCs w:val="34"/>
        </w:rPr>
        <w:t>İç</w:t>
      </w:r>
      <w:r w:rsidRPr="00BB0D97">
        <w:rPr>
          <w:rFonts w:ascii="Times New Roman" w:eastAsiaTheme="majorEastAsia" w:hAnsi="Times New Roman" w:cs="Times New Roman"/>
          <w:b/>
          <w:bCs/>
          <w:color w:val="17365D"/>
          <w:sz w:val="34"/>
          <w:szCs w:val="34"/>
        </w:rPr>
        <w:t>in Erken Uyar</w:t>
      </w:r>
      <w:r w:rsidRPr="00BB0D97">
        <w:rPr>
          <w:rFonts w:ascii="Times New Roman" w:eastAsiaTheme="majorEastAsia" w:hAnsi="Times New Roman" w:cs="Times New Roman" w:hint="cs"/>
          <w:b/>
          <w:bCs/>
          <w:color w:val="17365D"/>
          <w:sz w:val="34"/>
          <w:szCs w:val="34"/>
        </w:rPr>
        <w:t>ı</w:t>
      </w:r>
      <w:r w:rsidRPr="00BB0D97">
        <w:rPr>
          <w:rFonts w:ascii="Times New Roman" w:eastAsiaTheme="majorEastAsia" w:hAnsi="Times New Roman" w:cs="Times New Roman"/>
          <w:b/>
          <w:bCs/>
          <w:color w:val="17365D"/>
          <w:sz w:val="34"/>
          <w:szCs w:val="34"/>
        </w:rPr>
        <w:t xml:space="preserve"> Mekanizmalar</w:t>
      </w:r>
      <w:r w:rsidRPr="00BB0D97">
        <w:rPr>
          <w:rFonts w:ascii="Times New Roman" w:eastAsiaTheme="majorEastAsia" w:hAnsi="Times New Roman" w:cs="Times New Roman" w:hint="cs"/>
          <w:b/>
          <w:bCs/>
          <w:color w:val="17365D"/>
          <w:sz w:val="34"/>
          <w:szCs w:val="34"/>
        </w:rPr>
        <w:t>ı</w:t>
      </w:r>
      <w:r w:rsidRPr="00BB0D97">
        <w:rPr>
          <w:rFonts w:ascii="Times New Roman" w:eastAsiaTheme="majorEastAsia" w:hAnsi="Times New Roman" w:cs="Times New Roman"/>
          <w:b/>
          <w:bCs/>
          <w:color w:val="17365D"/>
          <w:sz w:val="34"/>
          <w:szCs w:val="34"/>
        </w:rPr>
        <w:t>: Temel Risk G</w:t>
      </w:r>
      <w:r w:rsidRPr="00BB0D97">
        <w:rPr>
          <w:rFonts w:ascii="Times New Roman" w:eastAsiaTheme="majorEastAsia" w:hAnsi="Times New Roman" w:cs="Times New Roman" w:hint="cs"/>
          <w:b/>
          <w:bCs/>
          <w:color w:val="17365D"/>
          <w:sz w:val="34"/>
          <w:szCs w:val="34"/>
        </w:rPr>
        <w:t>ö</w:t>
      </w:r>
      <w:r w:rsidRPr="00BB0D97">
        <w:rPr>
          <w:rFonts w:ascii="Times New Roman" w:eastAsiaTheme="majorEastAsia" w:hAnsi="Times New Roman" w:cs="Times New Roman"/>
          <w:b/>
          <w:bCs/>
          <w:color w:val="17365D"/>
          <w:sz w:val="34"/>
          <w:szCs w:val="34"/>
        </w:rPr>
        <w:t xml:space="preserve">stergeleri ve Risk </w:t>
      </w:r>
      <w:r w:rsidRPr="00BB0D97">
        <w:rPr>
          <w:rFonts w:ascii="Times New Roman" w:eastAsiaTheme="majorEastAsia" w:hAnsi="Times New Roman" w:cs="Times New Roman" w:hint="cs"/>
          <w:b/>
          <w:bCs/>
          <w:color w:val="17365D"/>
          <w:sz w:val="34"/>
          <w:szCs w:val="34"/>
        </w:rPr>
        <w:t>İş</w:t>
      </w:r>
      <w:r w:rsidRPr="00BB0D97">
        <w:rPr>
          <w:rFonts w:ascii="Times New Roman" w:eastAsiaTheme="majorEastAsia" w:hAnsi="Times New Roman" w:cs="Times New Roman"/>
          <w:b/>
          <w:bCs/>
          <w:color w:val="17365D"/>
          <w:sz w:val="34"/>
          <w:szCs w:val="34"/>
        </w:rPr>
        <w:t>tah</w:t>
      </w:r>
      <w:r w:rsidRPr="00BB0D97">
        <w:rPr>
          <w:rFonts w:ascii="Times New Roman" w:eastAsiaTheme="majorEastAsia" w:hAnsi="Times New Roman" w:cs="Times New Roman" w:hint="cs"/>
          <w:b/>
          <w:bCs/>
          <w:color w:val="17365D"/>
          <w:sz w:val="34"/>
          <w:szCs w:val="34"/>
        </w:rPr>
        <w:t>ı</w:t>
      </w:r>
    </w:p>
    <w:p w14:paraId="65BAE298" w14:textId="5283CBEA" w:rsidR="00A81E23" w:rsidRPr="00DE0EB4" w:rsidRDefault="00A81E23" w:rsidP="0011501E">
      <w:pPr>
        <w:spacing w:after="0"/>
        <w:jc w:val="center"/>
        <w:rPr>
          <w:rFonts w:ascii="Times New Roman" w:hAnsi="Times New Roman" w:cs="Times New Roman"/>
          <w:color w:val="5B6978"/>
          <w:sz w:val="24"/>
          <w:szCs w:val="24"/>
        </w:rPr>
      </w:pPr>
      <w:r w:rsidRPr="00DE0EB4">
        <w:rPr>
          <w:rFonts w:ascii="Times New Roman" w:hAnsi="Times New Roman" w:cs="Times New Roman"/>
          <w:szCs w:val="24"/>
        </w:rPr>
        <w:t>Prof. Dr. Hasan AMCA</w:t>
      </w:r>
    </w:p>
    <w:p w14:paraId="4D93D249" w14:textId="77777777" w:rsidR="002E338D" w:rsidRPr="000D340F" w:rsidRDefault="002E338D" w:rsidP="00AB6BF4">
      <w:pPr>
        <w:pStyle w:val="Balk2"/>
        <w:numPr>
          <w:ilvl w:val="0"/>
          <w:numId w:val="10"/>
        </w:numPr>
        <w:rPr>
          <w:rFonts w:cs="Times New Roman"/>
        </w:rPr>
      </w:pPr>
      <w:r w:rsidRPr="000D340F">
        <w:rPr>
          <w:rFonts w:cs="Times New Roman"/>
        </w:rPr>
        <w:t>Özet</w:t>
      </w:r>
    </w:p>
    <w:p w14:paraId="5D1419A6" w14:textId="77777777" w:rsidR="00A90FCA" w:rsidRDefault="00C5288C" w:rsidP="00CB5DD1">
      <w:pPr>
        <w:jc w:val="both"/>
        <w:rPr>
          <w:rFonts w:ascii="Times New Roman" w:hAnsi="Times New Roman" w:cs="Times New Roman"/>
        </w:rPr>
      </w:pPr>
      <w:r w:rsidRPr="00C5288C">
        <w:rPr>
          <w:rFonts w:ascii="Times New Roman" w:hAnsi="Times New Roman" w:cs="Times New Roman"/>
        </w:rPr>
        <w:t>Bu makale, yak</w:t>
      </w:r>
      <w:r w:rsidRPr="00C5288C">
        <w:rPr>
          <w:rFonts w:ascii="Times New Roman" w:hAnsi="Times New Roman" w:cs="Times New Roman" w:hint="cs"/>
        </w:rPr>
        <w:t>ı</w:t>
      </w:r>
      <w:r w:rsidRPr="00C5288C">
        <w:rPr>
          <w:rFonts w:ascii="Times New Roman" w:hAnsi="Times New Roman" w:cs="Times New Roman"/>
        </w:rPr>
        <w:t>ndan tan</w:t>
      </w:r>
      <w:r w:rsidRPr="00C5288C">
        <w:rPr>
          <w:rFonts w:ascii="Times New Roman" w:hAnsi="Times New Roman" w:cs="Times New Roman" w:hint="cs"/>
        </w:rPr>
        <w:t>ı</w:t>
      </w:r>
      <w:r w:rsidRPr="00C5288C">
        <w:rPr>
          <w:rFonts w:ascii="Times New Roman" w:hAnsi="Times New Roman" w:cs="Times New Roman"/>
        </w:rPr>
        <w:t>d</w:t>
      </w:r>
      <w:r w:rsidRPr="00C5288C">
        <w:rPr>
          <w:rFonts w:ascii="Times New Roman" w:hAnsi="Times New Roman" w:cs="Times New Roman" w:hint="cs"/>
        </w:rPr>
        <w:t>ığı</w:t>
      </w:r>
      <w:r w:rsidRPr="00C5288C">
        <w:rPr>
          <w:rFonts w:ascii="Times New Roman" w:hAnsi="Times New Roman" w:cs="Times New Roman"/>
        </w:rPr>
        <w:t>m</w:t>
      </w:r>
      <w:r w:rsidRPr="00C5288C">
        <w:rPr>
          <w:rFonts w:ascii="Times New Roman" w:hAnsi="Times New Roman" w:cs="Times New Roman" w:hint="cs"/>
        </w:rPr>
        <w:t>ı</w:t>
      </w:r>
      <w:r w:rsidRPr="00C5288C">
        <w:rPr>
          <w:rFonts w:ascii="Times New Roman" w:hAnsi="Times New Roman" w:cs="Times New Roman"/>
        </w:rPr>
        <w:t>z ba</w:t>
      </w:r>
      <w:r w:rsidRPr="00C5288C">
        <w:rPr>
          <w:rFonts w:ascii="Times New Roman" w:hAnsi="Times New Roman" w:cs="Times New Roman" w:hint="cs"/>
        </w:rPr>
        <w:t>ş</w:t>
      </w:r>
      <w:r w:rsidRPr="00C5288C">
        <w:rPr>
          <w:rFonts w:ascii="Times New Roman" w:hAnsi="Times New Roman" w:cs="Times New Roman"/>
        </w:rPr>
        <w:t>ar</w:t>
      </w:r>
      <w:r w:rsidRPr="00C5288C">
        <w:rPr>
          <w:rFonts w:ascii="Times New Roman" w:hAnsi="Times New Roman" w:cs="Times New Roman" w:hint="cs"/>
        </w:rPr>
        <w:t>ı</w:t>
      </w:r>
      <w:r w:rsidRPr="00C5288C">
        <w:rPr>
          <w:rFonts w:ascii="Times New Roman" w:hAnsi="Times New Roman" w:cs="Times New Roman"/>
        </w:rPr>
        <w:t>l</w:t>
      </w:r>
      <w:r w:rsidRPr="00C5288C">
        <w:rPr>
          <w:rFonts w:ascii="Times New Roman" w:hAnsi="Times New Roman" w:cs="Times New Roman" w:hint="cs"/>
        </w:rPr>
        <w:t>ı</w:t>
      </w:r>
      <w:r w:rsidRPr="00C5288C">
        <w:rPr>
          <w:rFonts w:ascii="Times New Roman" w:hAnsi="Times New Roman" w:cs="Times New Roman"/>
        </w:rPr>
        <w:t xml:space="preserve"> y</w:t>
      </w:r>
      <w:r w:rsidRPr="00C5288C">
        <w:rPr>
          <w:rFonts w:ascii="Times New Roman" w:hAnsi="Times New Roman" w:cs="Times New Roman" w:hint="cs"/>
        </w:rPr>
        <w:t>ü</w:t>
      </w:r>
      <w:r w:rsidRPr="00C5288C">
        <w:rPr>
          <w:rFonts w:ascii="Times New Roman" w:hAnsi="Times New Roman" w:cs="Times New Roman"/>
        </w:rPr>
        <w:t>ksek</w:t>
      </w:r>
      <w:r w:rsidRPr="00C5288C">
        <w:rPr>
          <w:rFonts w:ascii="Times New Roman" w:hAnsi="Times New Roman" w:cs="Times New Roman" w:hint="cs"/>
        </w:rPr>
        <w:t>öğ</w:t>
      </w:r>
      <w:r w:rsidRPr="00C5288C">
        <w:rPr>
          <w:rFonts w:ascii="Times New Roman" w:hAnsi="Times New Roman" w:cs="Times New Roman"/>
        </w:rPr>
        <w:t>retim kurumlar</w:t>
      </w:r>
      <w:r w:rsidRPr="00C5288C">
        <w:rPr>
          <w:rFonts w:ascii="Times New Roman" w:hAnsi="Times New Roman" w:cs="Times New Roman" w:hint="cs"/>
        </w:rPr>
        <w:t>ı</w:t>
      </w:r>
      <w:r w:rsidRPr="00C5288C">
        <w:rPr>
          <w:rFonts w:ascii="Times New Roman" w:hAnsi="Times New Roman" w:cs="Times New Roman"/>
        </w:rPr>
        <w:t>n</w:t>
      </w:r>
      <w:r w:rsidRPr="00C5288C">
        <w:rPr>
          <w:rFonts w:ascii="Times New Roman" w:hAnsi="Times New Roman" w:cs="Times New Roman" w:hint="cs"/>
        </w:rPr>
        <w:t>ı</w:t>
      </w:r>
      <w:r w:rsidRPr="00C5288C">
        <w:rPr>
          <w:rFonts w:ascii="Times New Roman" w:hAnsi="Times New Roman" w:cs="Times New Roman"/>
        </w:rPr>
        <w:t>n deneyim ve uygulamalar</w:t>
      </w:r>
      <w:r w:rsidRPr="00C5288C">
        <w:rPr>
          <w:rFonts w:ascii="Times New Roman" w:hAnsi="Times New Roman" w:cs="Times New Roman" w:hint="cs"/>
        </w:rPr>
        <w:t>ı</w:t>
      </w:r>
      <w:r w:rsidRPr="00C5288C">
        <w:rPr>
          <w:rFonts w:ascii="Times New Roman" w:hAnsi="Times New Roman" w:cs="Times New Roman"/>
        </w:rPr>
        <w:t>ndan hareketle, farkl</w:t>
      </w:r>
      <w:r w:rsidRPr="00C5288C">
        <w:rPr>
          <w:rFonts w:ascii="Times New Roman" w:hAnsi="Times New Roman" w:cs="Times New Roman" w:hint="cs"/>
        </w:rPr>
        <w:t>ı</w:t>
      </w:r>
      <w:r w:rsidRPr="00C5288C">
        <w:rPr>
          <w:rFonts w:ascii="Times New Roman" w:hAnsi="Times New Roman" w:cs="Times New Roman"/>
        </w:rPr>
        <w:t xml:space="preserve"> </w:t>
      </w:r>
      <w:r w:rsidRPr="00C5288C">
        <w:rPr>
          <w:rFonts w:ascii="Times New Roman" w:hAnsi="Times New Roman" w:cs="Times New Roman" w:hint="cs"/>
        </w:rPr>
        <w:t>ö</w:t>
      </w:r>
      <w:r w:rsidRPr="00C5288C">
        <w:rPr>
          <w:rFonts w:ascii="Times New Roman" w:hAnsi="Times New Roman" w:cs="Times New Roman"/>
        </w:rPr>
        <w:t>l</w:t>
      </w:r>
      <w:r w:rsidRPr="00C5288C">
        <w:rPr>
          <w:rFonts w:ascii="Times New Roman" w:hAnsi="Times New Roman" w:cs="Times New Roman" w:hint="cs"/>
        </w:rPr>
        <w:t>ç</w:t>
      </w:r>
      <w:r w:rsidRPr="00C5288C">
        <w:rPr>
          <w:rFonts w:ascii="Times New Roman" w:hAnsi="Times New Roman" w:cs="Times New Roman"/>
        </w:rPr>
        <w:t>ek ve kurumsal yap</w:t>
      </w:r>
      <w:r w:rsidRPr="00C5288C">
        <w:rPr>
          <w:rFonts w:ascii="Times New Roman" w:hAnsi="Times New Roman" w:cs="Times New Roman" w:hint="cs"/>
        </w:rPr>
        <w:t>ı</w:t>
      </w:r>
      <w:r w:rsidRPr="00C5288C">
        <w:rPr>
          <w:rFonts w:ascii="Times New Roman" w:hAnsi="Times New Roman" w:cs="Times New Roman"/>
        </w:rPr>
        <w:t xml:space="preserve">lardaki </w:t>
      </w:r>
      <w:r w:rsidRPr="00C5288C">
        <w:rPr>
          <w:rFonts w:ascii="Times New Roman" w:hAnsi="Times New Roman" w:cs="Times New Roman" w:hint="cs"/>
        </w:rPr>
        <w:t>ü</w:t>
      </w:r>
      <w:r w:rsidRPr="00C5288C">
        <w:rPr>
          <w:rFonts w:ascii="Times New Roman" w:hAnsi="Times New Roman" w:cs="Times New Roman"/>
        </w:rPr>
        <w:t xml:space="preserve">niversitelerin </w:t>
      </w:r>
      <w:r w:rsidRPr="00C5288C">
        <w:rPr>
          <w:rFonts w:ascii="Times New Roman" w:hAnsi="Times New Roman" w:cs="Times New Roman" w:hint="cs"/>
        </w:rPr>
        <w:t>ü</w:t>
      </w:r>
      <w:r w:rsidRPr="00C5288C">
        <w:rPr>
          <w:rFonts w:ascii="Times New Roman" w:hAnsi="Times New Roman" w:cs="Times New Roman"/>
        </w:rPr>
        <w:t>st d</w:t>
      </w:r>
      <w:r w:rsidRPr="00C5288C">
        <w:rPr>
          <w:rFonts w:ascii="Times New Roman" w:hAnsi="Times New Roman" w:cs="Times New Roman" w:hint="cs"/>
        </w:rPr>
        <w:t>ü</w:t>
      </w:r>
      <w:r w:rsidRPr="00C5288C">
        <w:rPr>
          <w:rFonts w:ascii="Times New Roman" w:hAnsi="Times New Roman" w:cs="Times New Roman"/>
        </w:rPr>
        <w:t>zey y</w:t>
      </w:r>
      <w:r w:rsidRPr="00C5288C">
        <w:rPr>
          <w:rFonts w:ascii="Times New Roman" w:hAnsi="Times New Roman" w:cs="Times New Roman" w:hint="cs"/>
        </w:rPr>
        <w:t>ö</w:t>
      </w:r>
      <w:r w:rsidRPr="00C5288C">
        <w:rPr>
          <w:rFonts w:ascii="Times New Roman" w:hAnsi="Times New Roman" w:cs="Times New Roman"/>
        </w:rPr>
        <w:t>neticilerine; kurumsal s</w:t>
      </w:r>
      <w:r w:rsidRPr="00C5288C">
        <w:rPr>
          <w:rFonts w:ascii="Times New Roman" w:hAnsi="Times New Roman" w:cs="Times New Roman" w:hint="cs"/>
        </w:rPr>
        <w:t>ü</w:t>
      </w:r>
      <w:r w:rsidRPr="00C5288C">
        <w:rPr>
          <w:rFonts w:ascii="Times New Roman" w:hAnsi="Times New Roman" w:cs="Times New Roman"/>
        </w:rPr>
        <w:t>rd</w:t>
      </w:r>
      <w:r w:rsidRPr="00C5288C">
        <w:rPr>
          <w:rFonts w:ascii="Times New Roman" w:hAnsi="Times New Roman" w:cs="Times New Roman" w:hint="cs"/>
        </w:rPr>
        <w:t>ü</w:t>
      </w:r>
      <w:r w:rsidRPr="00C5288C">
        <w:rPr>
          <w:rFonts w:ascii="Times New Roman" w:hAnsi="Times New Roman" w:cs="Times New Roman"/>
        </w:rPr>
        <w:t>r</w:t>
      </w:r>
      <w:r w:rsidRPr="00C5288C">
        <w:rPr>
          <w:rFonts w:ascii="Times New Roman" w:hAnsi="Times New Roman" w:cs="Times New Roman" w:hint="cs"/>
        </w:rPr>
        <w:t>ü</w:t>
      </w:r>
      <w:r w:rsidRPr="00C5288C">
        <w:rPr>
          <w:rFonts w:ascii="Times New Roman" w:hAnsi="Times New Roman" w:cs="Times New Roman"/>
        </w:rPr>
        <w:t>lebilirli</w:t>
      </w:r>
      <w:r w:rsidRPr="00C5288C">
        <w:rPr>
          <w:rFonts w:ascii="Times New Roman" w:hAnsi="Times New Roman" w:cs="Times New Roman" w:hint="cs"/>
        </w:rPr>
        <w:t>ğ</w:t>
      </w:r>
      <w:r w:rsidRPr="00C5288C">
        <w:rPr>
          <w:rFonts w:ascii="Times New Roman" w:hAnsi="Times New Roman" w:cs="Times New Roman"/>
        </w:rPr>
        <w:t>in g</w:t>
      </w:r>
      <w:r w:rsidRPr="00C5288C">
        <w:rPr>
          <w:rFonts w:ascii="Times New Roman" w:hAnsi="Times New Roman" w:cs="Times New Roman" w:hint="cs"/>
        </w:rPr>
        <w:t>üç</w:t>
      </w:r>
      <w:r w:rsidRPr="00C5288C">
        <w:rPr>
          <w:rFonts w:ascii="Times New Roman" w:hAnsi="Times New Roman" w:cs="Times New Roman"/>
        </w:rPr>
        <w:t>lendirilmesi amac</w:t>
      </w:r>
      <w:r w:rsidRPr="00C5288C">
        <w:rPr>
          <w:rFonts w:ascii="Times New Roman" w:hAnsi="Times New Roman" w:cs="Times New Roman" w:hint="cs"/>
        </w:rPr>
        <w:t>ı</w:t>
      </w:r>
      <w:r w:rsidRPr="00C5288C">
        <w:rPr>
          <w:rFonts w:ascii="Times New Roman" w:hAnsi="Times New Roman" w:cs="Times New Roman"/>
        </w:rPr>
        <w:t>yla, temel risk g</w:t>
      </w:r>
      <w:r w:rsidRPr="00C5288C">
        <w:rPr>
          <w:rFonts w:ascii="Times New Roman" w:hAnsi="Times New Roman" w:cs="Times New Roman" w:hint="cs"/>
        </w:rPr>
        <w:t>ö</w:t>
      </w:r>
      <w:r w:rsidRPr="00C5288C">
        <w:rPr>
          <w:rFonts w:ascii="Times New Roman" w:hAnsi="Times New Roman" w:cs="Times New Roman"/>
        </w:rPr>
        <w:t>stergeleri ve risk i</w:t>
      </w:r>
      <w:r w:rsidRPr="00C5288C">
        <w:rPr>
          <w:rFonts w:ascii="Times New Roman" w:hAnsi="Times New Roman" w:cs="Times New Roman" w:hint="cs"/>
        </w:rPr>
        <w:t>ş</w:t>
      </w:r>
      <w:r w:rsidRPr="00C5288C">
        <w:rPr>
          <w:rFonts w:ascii="Times New Roman" w:hAnsi="Times New Roman" w:cs="Times New Roman"/>
        </w:rPr>
        <w:t>tah</w:t>
      </w:r>
      <w:r w:rsidRPr="00C5288C">
        <w:rPr>
          <w:rFonts w:ascii="Times New Roman" w:hAnsi="Times New Roman" w:cs="Times New Roman" w:hint="cs"/>
        </w:rPr>
        <w:t>ı</w:t>
      </w:r>
      <w:r w:rsidRPr="00C5288C">
        <w:rPr>
          <w:rFonts w:ascii="Times New Roman" w:hAnsi="Times New Roman" w:cs="Times New Roman"/>
        </w:rPr>
        <w:t xml:space="preserve"> yakla</w:t>
      </w:r>
      <w:r w:rsidRPr="00C5288C">
        <w:rPr>
          <w:rFonts w:ascii="Times New Roman" w:hAnsi="Times New Roman" w:cs="Times New Roman" w:hint="cs"/>
        </w:rPr>
        <w:t>şı</w:t>
      </w:r>
      <w:r w:rsidRPr="00C5288C">
        <w:rPr>
          <w:rFonts w:ascii="Times New Roman" w:hAnsi="Times New Roman" w:cs="Times New Roman"/>
        </w:rPr>
        <w:t>m</w:t>
      </w:r>
      <w:r w:rsidRPr="00C5288C">
        <w:rPr>
          <w:rFonts w:ascii="Times New Roman" w:hAnsi="Times New Roman" w:cs="Times New Roman" w:hint="cs"/>
        </w:rPr>
        <w:t>ı</w:t>
      </w:r>
      <w:r w:rsidRPr="00C5288C">
        <w:rPr>
          <w:rFonts w:ascii="Times New Roman" w:hAnsi="Times New Roman" w:cs="Times New Roman"/>
        </w:rPr>
        <w:t>n</w:t>
      </w:r>
      <w:r w:rsidRPr="00C5288C">
        <w:rPr>
          <w:rFonts w:ascii="Times New Roman" w:hAnsi="Times New Roman" w:cs="Times New Roman" w:hint="cs"/>
        </w:rPr>
        <w:t>ı</w:t>
      </w:r>
      <w:r w:rsidRPr="00C5288C">
        <w:rPr>
          <w:rFonts w:ascii="Times New Roman" w:hAnsi="Times New Roman" w:cs="Times New Roman"/>
        </w:rPr>
        <w:t xml:space="preserve"> esas alan bir erken uyar</w:t>
      </w:r>
      <w:r w:rsidRPr="00C5288C">
        <w:rPr>
          <w:rFonts w:ascii="Times New Roman" w:hAnsi="Times New Roman" w:cs="Times New Roman" w:hint="cs"/>
        </w:rPr>
        <w:t>ı</w:t>
      </w:r>
      <w:r w:rsidRPr="00C5288C">
        <w:rPr>
          <w:rFonts w:ascii="Times New Roman" w:hAnsi="Times New Roman" w:cs="Times New Roman"/>
        </w:rPr>
        <w:t xml:space="preserve"> ve zaman</w:t>
      </w:r>
      <w:r w:rsidRPr="00C5288C">
        <w:rPr>
          <w:rFonts w:ascii="Times New Roman" w:hAnsi="Times New Roman" w:cs="Times New Roman" w:hint="cs"/>
        </w:rPr>
        <w:t>ı</w:t>
      </w:r>
      <w:r w:rsidRPr="00C5288C">
        <w:rPr>
          <w:rFonts w:ascii="Times New Roman" w:hAnsi="Times New Roman" w:cs="Times New Roman"/>
        </w:rPr>
        <w:t>nda m</w:t>
      </w:r>
      <w:r w:rsidRPr="00C5288C">
        <w:rPr>
          <w:rFonts w:ascii="Times New Roman" w:hAnsi="Times New Roman" w:cs="Times New Roman" w:hint="cs"/>
        </w:rPr>
        <w:t>ü</w:t>
      </w:r>
      <w:r w:rsidRPr="00C5288C">
        <w:rPr>
          <w:rFonts w:ascii="Times New Roman" w:hAnsi="Times New Roman" w:cs="Times New Roman"/>
        </w:rPr>
        <w:t xml:space="preserve">dahale </w:t>
      </w:r>
      <w:r w:rsidRPr="00C5288C">
        <w:rPr>
          <w:rFonts w:ascii="Times New Roman" w:hAnsi="Times New Roman" w:cs="Times New Roman" w:hint="cs"/>
        </w:rPr>
        <w:t>ç</w:t>
      </w:r>
      <w:r w:rsidRPr="00C5288C">
        <w:rPr>
          <w:rFonts w:ascii="Times New Roman" w:hAnsi="Times New Roman" w:cs="Times New Roman"/>
        </w:rPr>
        <w:t>er</w:t>
      </w:r>
      <w:r w:rsidRPr="00C5288C">
        <w:rPr>
          <w:rFonts w:ascii="Times New Roman" w:hAnsi="Times New Roman" w:cs="Times New Roman" w:hint="cs"/>
        </w:rPr>
        <w:t>ç</w:t>
      </w:r>
      <w:r w:rsidRPr="00C5288C">
        <w:rPr>
          <w:rFonts w:ascii="Times New Roman" w:hAnsi="Times New Roman" w:cs="Times New Roman"/>
        </w:rPr>
        <w:t>evesi sunmay</w:t>
      </w:r>
      <w:r w:rsidRPr="00C5288C">
        <w:rPr>
          <w:rFonts w:ascii="Times New Roman" w:hAnsi="Times New Roman" w:cs="Times New Roman" w:hint="cs"/>
        </w:rPr>
        <w:t>ı</w:t>
      </w:r>
      <w:r w:rsidRPr="00C5288C">
        <w:rPr>
          <w:rFonts w:ascii="Times New Roman" w:hAnsi="Times New Roman" w:cs="Times New Roman"/>
        </w:rPr>
        <w:t xml:space="preserve"> ama</w:t>
      </w:r>
      <w:r w:rsidRPr="00C5288C">
        <w:rPr>
          <w:rFonts w:ascii="Times New Roman" w:hAnsi="Times New Roman" w:cs="Times New Roman" w:hint="cs"/>
        </w:rPr>
        <w:t>ç</w:t>
      </w:r>
      <w:r w:rsidRPr="00C5288C">
        <w:rPr>
          <w:rFonts w:ascii="Times New Roman" w:hAnsi="Times New Roman" w:cs="Times New Roman"/>
        </w:rPr>
        <w:t>lamaktad</w:t>
      </w:r>
      <w:r w:rsidRPr="00C5288C">
        <w:rPr>
          <w:rFonts w:ascii="Times New Roman" w:hAnsi="Times New Roman" w:cs="Times New Roman" w:hint="cs"/>
        </w:rPr>
        <w:t>ı</w:t>
      </w:r>
      <w:r w:rsidRPr="00C5288C">
        <w:rPr>
          <w:rFonts w:ascii="Times New Roman" w:hAnsi="Times New Roman" w:cs="Times New Roman"/>
        </w:rPr>
        <w:t>r.</w:t>
      </w:r>
      <w:r>
        <w:rPr>
          <w:rFonts w:ascii="Times New Roman" w:hAnsi="Times New Roman" w:cs="Times New Roman"/>
        </w:rPr>
        <w:t xml:space="preserve"> </w:t>
      </w:r>
    </w:p>
    <w:p w14:paraId="3AF71808" w14:textId="69D64B50" w:rsidR="002E338D" w:rsidRPr="00DE0EB4" w:rsidRDefault="00DE0EB4" w:rsidP="00CB5DD1">
      <w:pPr>
        <w:jc w:val="both"/>
        <w:rPr>
          <w:rFonts w:ascii="Times New Roman" w:hAnsi="Times New Roman" w:cs="Times New Roman"/>
        </w:rPr>
      </w:pPr>
      <w:r w:rsidRPr="00DE0EB4">
        <w:rPr>
          <w:rFonts w:ascii="Times New Roman" w:hAnsi="Times New Roman" w:cs="Times New Roman"/>
        </w:rPr>
        <w:t xml:space="preserve">Bu </w:t>
      </w:r>
      <w:r w:rsidR="00C5288C">
        <w:rPr>
          <w:rFonts w:ascii="Times New Roman" w:hAnsi="Times New Roman" w:cs="Times New Roman"/>
        </w:rPr>
        <w:t xml:space="preserve">makale </w:t>
      </w:r>
      <w:r w:rsidRPr="00DE0EB4">
        <w:rPr>
          <w:rFonts w:ascii="Times New Roman" w:hAnsi="Times New Roman" w:cs="Times New Roman"/>
        </w:rPr>
        <w:t>haz</w:t>
      </w:r>
      <w:r w:rsidRPr="00DE0EB4">
        <w:rPr>
          <w:rFonts w:ascii="Times New Roman" w:hAnsi="Times New Roman" w:cs="Times New Roman" w:hint="cs"/>
        </w:rPr>
        <w:t>ı</w:t>
      </w:r>
      <w:r w:rsidRPr="00DE0EB4">
        <w:rPr>
          <w:rFonts w:ascii="Times New Roman" w:hAnsi="Times New Roman" w:cs="Times New Roman"/>
        </w:rPr>
        <w:t>rlan</w:t>
      </w:r>
      <w:r w:rsidR="00C5288C">
        <w:rPr>
          <w:rFonts w:ascii="Times New Roman" w:hAnsi="Times New Roman" w:cs="Times New Roman"/>
        </w:rPr>
        <w:t>ırken</w:t>
      </w:r>
      <w:r w:rsidRPr="00DE0EB4">
        <w:rPr>
          <w:rFonts w:ascii="Times New Roman" w:hAnsi="Times New Roman" w:cs="Times New Roman"/>
        </w:rPr>
        <w:t>, Times Higher Education 2027 d</w:t>
      </w:r>
      <w:r w:rsidRPr="00DE0EB4">
        <w:rPr>
          <w:rFonts w:ascii="Times New Roman" w:hAnsi="Times New Roman" w:cs="Times New Roman" w:hint="cs"/>
        </w:rPr>
        <w:t>ü</w:t>
      </w:r>
      <w:r w:rsidRPr="00DE0EB4">
        <w:rPr>
          <w:rFonts w:ascii="Times New Roman" w:hAnsi="Times New Roman" w:cs="Times New Roman"/>
        </w:rPr>
        <w:t>nya s</w:t>
      </w:r>
      <w:r w:rsidRPr="00DE0EB4">
        <w:rPr>
          <w:rFonts w:ascii="Times New Roman" w:hAnsi="Times New Roman" w:cs="Times New Roman" w:hint="cs"/>
        </w:rPr>
        <w:t>ı</w:t>
      </w:r>
      <w:r w:rsidRPr="00DE0EB4">
        <w:rPr>
          <w:rFonts w:ascii="Times New Roman" w:hAnsi="Times New Roman" w:cs="Times New Roman"/>
        </w:rPr>
        <w:t>ralamas</w:t>
      </w:r>
      <w:r w:rsidRPr="00DE0EB4">
        <w:rPr>
          <w:rFonts w:ascii="Times New Roman" w:hAnsi="Times New Roman" w:cs="Times New Roman" w:hint="cs"/>
        </w:rPr>
        <w:t>ı</w:t>
      </w:r>
      <w:r w:rsidRPr="00DE0EB4">
        <w:rPr>
          <w:rFonts w:ascii="Times New Roman" w:hAnsi="Times New Roman" w:cs="Times New Roman"/>
        </w:rPr>
        <w:t>nda ilk 30</w:t>
      </w:r>
      <w:r w:rsidR="00C5288C">
        <w:rPr>
          <w:rFonts w:ascii="Times New Roman" w:hAnsi="Times New Roman" w:cs="Times New Roman"/>
        </w:rPr>
        <w:t>’</w:t>
      </w:r>
      <w:r w:rsidRPr="00DE0EB4">
        <w:rPr>
          <w:rFonts w:ascii="Times New Roman" w:hAnsi="Times New Roman" w:cs="Times New Roman"/>
        </w:rPr>
        <w:t>da yer alan Cambridge</w:t>
      </w:r>
      <w:r w:rsidR="00F56F50">
        <w:rPr>
          <w:rFonts w:ascii="Times New Roman" w:hAnsi="Times New Roman" w:cs="Times New Roman"/>
        </w:rPr>
        <w:t>, Oxford</w:t>
      </w:r>
      <w:r w:rsidRPr="00DE0EB4">
        <w:rPr>
          <w:rFonts w:ascii="Times New Roman" w:hAnsi="Times New Roman" w:cs="Times New Roman"/>
        </w:rPr>
        <w:t xml:space="preserve"> ve Edinburgh gibi </w:t>
      </w:r>
      <w:r w:rsidRPr="00DE0EB4">
        <w:rPr>
          <w:rFonts w:ascii="Times New Roman" w:hAnsi="Times New Roman" w:cs="Times New Roman" w:hint="cs"/>
        </w:rPr>
        <w:t>ü</w:t>
      </w:r>
      <w:r w:rsidRPr="00DE0EB4">
        <w:rPr>
          <w:rFonts w:ascii="Times New Roman" w:hAnsi="Times New Roman" w:cs="Times New Roman"/>
        </w:rPr>
        <w:t>niversitelerin kamuya a</w:t>
      </w:r>
      <w:r w:rsidRPr="00DE0EB4">
        <w:rPr>
          <w:rFonts w:ascii="Times New Roman" w:hAnsi="Times New Roman" w:cs="Times New Roman" w:hint="cs"/>
        </w:rPr>
        <w:t>çı</w:t>
      </w:r>
      <w:r w:rsidRPr="00DE0EB4">
        <w:rPr>
          <w:rFonts w:ascii="Times New Roman" w:hAnsi="Times New Roman" w:cs="Times New Roman"/>
        </w:rPr>
        <w:t>k risk y</w:t>
      </w:r>
      <w:r w:rsidRPr="00DE0EB4">
        <w:rPr>
          <w:rFonts w:ascii="Times New Roman" w:hAnsi="Times New Roman" w:cs="Times New Roman" w:hint="cs"/>
        </w:rPr>
        <w:t>ö</w:t>
      </w:r>
      <w:r w:rsidRPr="00DE0EB4">
        <w:rPr>
          <w:rFonts w:ascii="Times New Roman" w:hAnsi="Times New Roman" w:cs="Times New Roman"/>
        </w:rPr>
        <w:t>netimi, performans ve risk i</w:t>
      </w:r>
      <w:r w:rsidRPr="00DE0EB4">
        <w:rPr>
          <w:rFonts w:ascii="Times New Roman" w:hAnsi="Times New Roman" w:cs="Times New Roman" w:hint="cs"/>
        </w:rPr>
        <w:t>ş</w:t>
      </w:r>
      <w:r w:rsidRPr="00DE0EB4">
        <w:rPr>
          <w:rFonts w:ascii="Times New Roman" w:hAnsi="Times New Roman" w:cs="Times New Roman"/>
        </w:rPr>
        <w:t>tah</w:t>
      </w:r>
      <w:r w:rsidRPr="00DE0EB4">
        <w:rPr>
          <w:rFonts w:ascii="Times New Roman" w:hAnsi="Times New Roman" w:cs="Times New Roman" w:hint="cs"/>
        </w:rPr>
        <w:t>ı</w:t>
      </w:r>
      <w:r w:rsidRPr="00DE0EB4">
        <w:rPr>
          <w:rFonts w:ascii="Times New Roman" w:hAnsi="Times New Roman" w:cs="Times New Roman"/>
        </w:rPr>
        <w:t xml:space="preserve"> belgelerinden yararlan</w:t>
      </w:r>
      <w:r w:rsidRPr="00DE0EB4">
        <w:rPr>
          <w:rFonts w:ascii="Times New Roman" w:hAnsi="Times New Roman" w:cs="Times New Roman" w:hint="cs"/>
        </w:rPr>
        <w:t>ı</w:t>
      </w:r>
      <w:r w:rsidRPr="00DE0EB4">
        <w:rPr>
          <w:rFonts w:ascii="Times New Roman" w:hAnsi="Times New Roman" w:cs="Times New Roman"/>
        </w:rPr>
        <w:t>lm</w:t>
      </w:r>
      <w:r w:rsidRPr="00DE0EB4">
        <w:rPr>
          <w:rFonts w:ascii="Times New Roman" w:hAnsi="Times New Roman" w:cs="Times New Roman" w:hint="cs"/>
        </w:rPr>
        <w:t>ış</w:t>
      </w:r>
      <w:r w:rsidRPr="00DE0EB4">
        <w:rPr>
          <w:rFonts w:ascii="Times New Roman" w:hAnsi="Times New Roman" w:cs="Times New Roman"/>
        </w:rPr>
        <w:t>t</w:t>
      </w:r>
      <w:r w:rsidRPr="00DE0EB4">
        <w:rPr>
          <w:rFonts w:ascii="Times New Roman" w:hAnsi="Times New Roman" w:cs="Times New Roman" w:hint="cs"/>
        </w:rPr>
        <w:t>ı</w:t>
      </w:r>
      <w:r w:rsidR="00A90FCA">
        <w:rPr>
          <w:rFonts w:ascii="Times New Roman" w:hAnsi="Times New Roman" w:cs="Times New Roman"/>
        </w:rPr>
        <w:t xml:space="preserve">r. </w:t>
      </w:r>
      <w:proofErr w:type="gramStart"/>
      <w:r w:rsidRPr="00DE0EB4">
        <w:rPr>
          <w:rFonts w:ascii="Times New Roman" w:hAnsi="Times New Roman" w:cs="Times New Roman"/>
        </w:rPr>
        <w:t>Bu</w:t>
      </w:r>
      <w:proofErr w:type="gramEnd"/>
      <w:r w:rsidRPr="00DE0EB4">
        <w:rPr>
          <w:rFonts w:ascii="Times New Roman" w:hAnsi="Times New Roman" w:cs="Times New Roman"/>
        </w:rPr>
        <w:t xml:space="preserve"> belgelerde yay</w:t>
      </w:r>
      <w:r w:rsidRPr="00DE0EB4">
        <w:rPr>
          <w:rFonts w:ascii="Times New Roman" w:hAnsi="Times New Roman" w:cs="Times New Roman" w:hint="cs"/>
        </w:rPr>
        <w:t>ı</w:t>
      </w:r>
      <w:r w:rsidRPr="00DE0EB4">
        <w:rPr>
          <w:rFonts w:ascii="Times New Roman" w:hAnsi="Times New Roman" w:cs="Times New Roman"/>
        </w:rPr>
        <w:t xml:space="preserve">mlanan performans </w:t>
      </w:r>
      <w:r w:rsidRPr="00DE0EB4">
        <w:rPr>
          <w:rFonts w:ascii="Times New Roman" w:hAnsi="Times New Roman" w:cs="Times New Roman" w:hint="cs"/>
        </w:rPr>
        <w:t>ö</w:t>
      </w:r>
      <w:r w:rsidRPr="00DE0EB4">
        <w:rPr>
          <w:rFonts w:ascii="Times New Roman" w:hAnsi="Times New Roman" w:cs="Times New Roman"/>
        </w:rPr>
        <w:t>l</w:t>
      </w:r>
      <w:r w:rsidRPr="00DE0EB4">
        <w:rPr>
          <w:rFonts w:ascii="Times New Roman" w:hAnsi="Times New Roman" w:cs="Times New Roman" w:hint="cs"/>
        </w:rPr>
        <w:t>çü</w:t>
      </w:r>
      <w:r w:rsidRPr="00DE0EB4">
        <w:rPr>
          <w:rFonts w:ascii="Times New Roman" w:hAnsi="Times New Roman" w:cs="Times New Roman"/>
        </w:rPr>
        <w:t>tleri, risk y</w:t>
      </w:r>
      <w:r w:rsidRPr="00DE0EB4">
        <w:rPr>
          <w:rFonts w:ascii="Times New Roman" w:hAnsi="Times New Roman" w:cs="Times New Roman" w:hint="cs"/>
        </w:rPr>
        <w:t>ö</w:t>
      </w:r>
      <w:r w:rsidRPr="00DE0EB4">
        <w:rPr>
          <w:rFonts w:ascii="Times New Roman" w:hAnsi="Times New Roman" w:cs="Times New Roman"/>
        </w:rPr>
        <w:t>netimi a</w:t>
      </w:r>
      <w:r w:rsidRPr="00DE0EB4">
        <w:rPr>
          <w:rFonts w:ascii="Times New Roman" w:hAnsi="Times New Roman" w:cs="Times New Roman" w:hint="cs"/>
        </w:rPr>
        <w:t>çı</w:t>
      </w:r>
      <w:r w:rsidRPr="00DE0EB4">
        <w:rPr>
          <w:rFonts w:ascii="Times New Roman" w:hAnsi="Times New Roman" w:cs="Times New Roman"/>
        </w:rPr>
        <w:t>klamalar</w:t>
      </w:r>
      <w:r w:rsidRPr="00DE0EB4">
        <w:rPr>
          <w:rFonts w:ascii="Times New Roman" w:hAnsi="Times New Roman" w:cs="Times New Roman" w:hint="cs"/>
        </w:rPr>
        <w:t>ı</w:t>
      </w:r>
      <w:r w:rsidRPr="00DE0EB4">
        <w:rPr>
          <w:rFonts w:ascii="Times New Roman" w:hAnsi="Times New Roman" w:cs="Times New Roman"/>
        </w:rPr>
        <w:t xml:space="preserve"> ve makalede </w:t>
      </w:r>
      <w:r w:rsidRPr="00DE0EB4">
        <w:rPr>
          <w:rFonts w:ascii="Times New Roman" w:hAnsi="Times New Roman" w:cs="Times New Roman" w:hint="cs"/>
        </w:rPr>
        <w:t>ö</w:t>
      </w:r>
      <w:r w:rsidRPr="00DE0EB4">
        <w:rPr>
          <w:rFonts w:ascii="Times New Roman" w:hAnsi="Times New Roman" w:cs="Times New Roman"/>
        </w:rPr>
        <w:t>nerilen erken uyar</w:t>
      </w:r>
      <w:r w:rsidRPr="00DE0EB4">
        <w:rPr>
          <w:rFonts w:ascii="Times New Roman" w:hAnsi="Times New Roman" w:cs="Times New Roman" w:hint="cs"/>
        </w:rPr>
        <w:t>ı</w:t>
      </w:r>
      <w:r w:rsidRPr="00DE0EB4">
        <w:rPr>
          <w:rFonts w:ascii="Times New Roman" w:hAnsi="Times New Roman" w:cs="Times New Roman"/>
        </w:rPr>
        <w:t xml:space="preserve"> g</w:t>
      </w:r>
      <w:r w:rsidRPr="00DE0EB4">
        <w:rPr>
          <w:rFonts w:ascii="Times New Roman" w:hAnsi="Times New Roman" w:cs="Times New Roman" w:hint="cs"/>
        </w:rPr>
        <w:t>ö</w:t>
      </w:r>
      <w:r w:rsidRPr="00DE0EB4">
        <w:rPr>
          <w:rFonts w:ascii="Times New Roman" w:hAnsi="Times New Roman" w:cs="Times New Roman"/>
        </w:rPr>
        <w:t>stergeleri birbirinden ayr</w:t>
      </w:r>
      <w:r w:rsidRPr="00DE0EB4">
        <w:rPr>
          <w:rFonts w:ascii="Times New Roman" w:hAnsi="Times New Roman" w:cs="Times New Roman" w:hint="cs"/>
        </w:rPr>
        <w:t>ı</w:t>
      </w:r>
      <w:r w:rsidRPr="00DE0EB4">
        <w:rPr>
          <w:rFonts w:ascii="Times New Roman" w:hAnsi="Times New Roman" w:cs="Times New Roman"/>
        </w:rPr>
        <w:t>larak de</w:t>
      </w:r>
      <w:r w:rsidRPr="00DE0EB4">
        <w:rPr>
          <w:rFonts w:ascii="Times New Roman" w:hAnsi="Times New Roman" w:cs="Times New Roman" w:hint="cs"/>
        </w:rPr>
        <w:t>ğ</w:t>
      </w:r>
      <w:r w:rsidRPr="00DE0EB4">
        <w:rPr>
          <w:rFonts w:ascii="Times New Roman" w:hAnsi="Times New Roman" w:cs="Times New Roman"/>
        </w:rPr>
        <w:t>erlendirilmi</w:t>
      </w:r>
      <w:r w:rsidRPr="00DE0EB4">
        <w:rPr>
          <w:rFonts w:ascii="Times New Roman" w:hAnsi="Times New Roman" w:cs="Times New Roman" w:hint="cs"/>
        </w:rPr>
        <w:t>ş</w:t>
      </w:r>
      <w:r w:rsidRPr="00DE0EB4">
        <w:rPr>
          <w:rFonts w:ascii="Times New Roman" w:hAnsi="Times New Roman" w:cs="Times New Roman"/>
        </w:rPr>
        <w:t>tir. S</w:t>
      </w:r>
      <w:r w:rsidRPr="00DE0EB4">
        <w:rPr>
          <w:rFonts w:ascii="Times New Roman" w:hAnsi="Times New Roman" w:cs="Times New Roman" w:hint="cs"/>
        </w:rPr>
        <w:t>ö</w:t>
      </w:r>
      <w:r w:rsidRPr="00DE0EB4">
        <w:rPr>
          <w:rFonts w:ascii="Times New Roman" w:hAnsi="Times New Roman" w:cs="Times New Roman"/>
        </w:rPr>
        <w:t xml:space="preserve">z konusu </w:t>
      </w:r>
      <w:r w:rsidRPr="00DE0EB4">
        <w:rPr>
          <w:rFonts w:ascii="Times New Roman" w:hAnsi="Times New Roman" w:cs="Times New Roman" w:hint="cs"/>
        </w:rPr>
        <w:t>ö</w:t>
      </w:r>
      <w:r w:rsidRPr="00DE0EB4">
        <w:rPr>
          <w:rFonts w:ascii="Times New Roman" w:hAnsi="Times New Roman" w:cs="Times New Roman"/>
        </w:rPr>
        <w:t>rnekler, ba</w:t>
      </w:r>
      <w:r w:rsidRPr="00DE0EB4">
        <w:rPr>
          <w:rFonts w:ascii="Times New Roman" w:hAnsi="Times New Roman" w:cs="Times New Roman" w:hint="cs"/>
        </w:rPr>
        <w:t>ş</w:t>
      </w:r>
      <w:r w:rsidRPr="00DE0EB4">
        <w:rPr>
          <w:rFonts w:ascii="Times New Roman" w:hAnsi="Times New Roman" w:cs="Times New Roman"/>
        </w:rPr>
        <w:t>ka kurumlara do</w:t>
      </w:r>
      <w:r w:rsidRPr="00DE0EB4">
        <w:rPr>
          <w:rFonts w:ascii="Times New Roman" w:hAnsi="Times New Roman" w:cs="Times New Roman" w:hint="cs"/>
        </w:rPr>
        <w:t>ğ</w:t>
      </w:r>
      <w:r w:rsidRPr="00DE0EB4">
        <w:rPr>
          <w:rFonts w:ascii="Times New Roman" w:hAnsi="Times New Roman" w:cs="Times New Roman"/>
        </w:rPr>
        <w:t>rudan aktar</w:t>
      </w:r>
      <w:r w:rsidRPr="00DE0EB4">
        <w:rPr>
          <w:rFonts w:ascii="Times New Roman" w:hAnsi="Times New Roman" w:cs="Times New Roman" w:hint="cs"/>
        </w:rPr>
        <w:t>ı</w:t>
      </w:r>
      <w:r w:rsidRPr="00DE0EB4">
        <w:rPr>
          <w:rFonts w:ascii="Times New Roman" w:hAnsi="Times New Roman" w:cs="Times New Roman"/>
        </w:rPr>
        <w:t>lacak standartlar olarak de</w:t>
      </w:r>
      <w:r w:rsidRPr="00DE0EB4">
        <w:rPr>
          <w:rFonts w:ascii="Times New Roman" w:hAnsi="Times New Roman" w:cs="Times New Roman" w:hint="cs"/>
        </w:rPr>
        <w:t>ğ</w:t>
      </w:r>
      <w:r w:rsidRPr="00DE0EB4">
        <w:rPr>
          <w:rFonts w:ascii="Times New Roman" w:hAnsi="Times New Roman" w:cs="Times New Roman"/>
        </w:rPr>
        <w:t>il, kurumsal risk y</w:t>
      </w:r>
      <w:r w:rsidRPr="00DE0EB4">
        <w:rPr>
          <w:rFonts w:ascii="Times New Roman" w:hAnsi="Times New Roman" w:cs="Times New Roman" w:hint="cs"/>
        </w:rPr>
        <w:t>ö</w:t>
      </w:r>
      <w:r w:rsidRPr="00DE0EB4">
        <w:rPr>
          <w:rFonts w:ascii="Times New Roman" w:hAnsi="Times New Roman" w:cs="Times New Roman"/>
        </w:rPr>
        <w:t>netiminin nas</w:t>
      </w:r>
      <w:r w:rsidRPr="00DE0EB4">
        <w:rPr>
          <w:rFonts w:ascii="Times New Roman" w:hAnsi="Times New Roman" w:cs="Times New Roman" w:hint="cs"/>
        </w:rPr>
        <w:t>ı</w:t>
      </w:r>
      <w:r w:rsidRPr="00DE0EB4">
        <w:rPr>
          <w:rFonts w:ascii="Times New Roman" w:hAnsi="Times New Roman" w:cs="Times New Roman"/>
        </w:rPr>
        <w:t>l yap</w:t>
      </w:r>
      <w:r w:rsidRPr="00DE0EB4">
        <w:rPr>
          <w:rFonts w:ascii="Times New Roman" w:hAnsi="Times New Roman" w:cs="Times New Roman" w:hint="cs"/>
        </w:rPr>
        <w:t>ı</w:t>
      </w:r>
      <w:r w:rsidRPr="00DE0EB4">
        <w:rPr>
          <w:rFonts w:ascii="Times New Roman" w:hAnsi="Times New Roman" w:cs="Times New Roman"/>
        </w:rPr>
        <w:t>land</w:t>
      </w:r>
      <w:r w:rsidRPr="00DE0EB4">
        <w:rPr>
          <w:rFonts w:ascii="Times New Roman" w:hAnsi="Times New Roman" w:cs="Times New Roman" w:hint="cs"/>
        </w:rPr>
        <w:t>ı</w:t>
      </w:r>
      <w:r w:rsidRPr="00DE0EB4">
        <w:rPr>
          <w:rFonts w:ascii="Times New Roman" w:hAnsi="Times New Roman" w:cs="Times New Roman"/>
        </w:rPr>
        <w:t>r</w:t>
      </w:r>
      <w:r w:rsidRPr="00DE0EB4">
        <w:rPr>
          <w:rFonts w:ascii="Times New Roman" w:hAnsi="Times New Roman" w:cs="Times New Roman" w:hint="cs"/>
        </w:rPr>
        <w:t>ı</w:t>
      </w:r>
      <w:r w:rsidRPr="00DE0EB4">
        <w:rPr>
          <w:rFonts w:ascii="Times New Roman" w:hAnsi="Times New Roman" w:cs="Times New Roman"/>
        </w:rPr>
        <w:t>labilece</w:t>
      </w:r>
      <w:r w:rsidRPr="00DE0EB4">
        <w:rPr>
          <w:rFonts w:ascii="Times New Roman" w:hAnsi="Times New Roman" w:cs="Times New Roman" w:hint="cs"/>
        </w:rPr>
        <w:t>ğ</w:t>
      </w:r>
      <w:r w:rsidRPr="00DE0EB4">
        <w:rPr>
          <w:rFonts w:ascii="Times New Roman" w:hAnsi="Times New Roman" w:cs="Times New Roman"/>
        </w:rPr>
        <w:t xml:space="preserve">ine </w:t>
      </w:r>
      <w:r w:rsidRPr="00DE0EB4">
        <w:rPr>
          <w:rFonts w:ascii="Times New Roman" w:hAnsi="Times New Roman" w:cs="Times New Roman" w:hint="cs"/>
        </w:rPr>
        <w:t>ışı</w:t>
      </w:r>
      <w:r w:rsidRPr="00DE0EB4">
        <w:rPr>
          <w:rFonts w:ascii="Times New Roman" w:hAnsi="Times New Roman" w:cs="Times New Roman"/>
        </w:rPr>
        <w:t>k tutan uygulamalar olarak ele al</w:t>
      </w:r>
      <w:r w:rsidRPr="00DE0EB4">
        <w:rPr>
          <w:rFonts w:ascii="Times New Roman" w:hAnsi="Times New Roman" w:cs="Times New Roman" w:hint="cs"/>
        </w:rPr>
        <w:t>ı</w:t>
      </w:r>
      <w:r w:rsidRPr="00DE0EB4">
        <w:rPr>
          <w:rFonts w:ascii="Times New Roman" w:hAnsi="Times New Roman" w:cs="Times New Roman"/>
        </w:rPr>
        <w:t>nm</w:t>
      </w:r>
      <w:r w:rsidRPr="00DE0EB4">
        <w:rPr>
          <w:rFonts w:ascii="Times New Roman" w:hAnsi="Times New Roman" w:cs="Times New Roman" w:hint="cs"/>
        </w:rPr>
        <w:t>ış</w:t>
      </w:r>
      <w:r w:rsidRPr="00DE0EB4">
        <w:rPr>
          <w:rFonts w:ascii="Times New Roman" w:hAnsi="Times New Roman" w:cs="Times New Roman"/>
        </w:rPr>
        <w:t>t</w:t>
      </w:r>
      <w:r w:rsidRPr="00DE0EB4">
        <w:rPr>
          <w:rFonts w:ascii="Times New Roman" w:hAnsi="Times New Roman" w:cs="Times New Roman" w:hint="cs"/>
        </w:rPr>
        <w:t>ı</w:t>
      </w:r>
      <w:r w:rsidRPr="00DE0EB4">
        <w:rPr>
          <w:rFonts w:ascii="Times New Roman" w:hAnsi="Times New Roman" w:cs="Times New Roman"/>
        </w:rPr>
        <w:t xml:space="preserve">r. Bir kurumun bu </w:t>
      </w:r>
      <w:r w:rsidRPr="00DE0EB4">
        <w:rPr>
          <w:rFonts w:ascii="Times New Roman" w:hAnsi="Times New Roman" w:cs="Times New Roman" w:hint="cs"/>
        </w:rPr>
        <w:t>ö</w:t>
      </w:r>
      <w:r w:rsidRPr="00DE0EB4">
        <w:rPr>
          <w:rFonts w:ascii="Times New Roman" w:hAnsi="Times New Roman" w:cs="Times New Roman"/>
        </w:rPr>
        <w:t>rneklerdeki uygulama olgunlu</w:t>
      </w:r>
      <w:r w:rsidRPr="00DE0EB4">
        <w:rPr>
          <w:rFonts w:ascii="Times New Roman" w:hAnsi="Times New Roman" w:cs="Times New Roman" w:hint="cs"/>
        </w:rPr>
        <w:t>ğ</w:t>
      </w:r>
      <w:r w:rsidRPr="00DE0EB4">
        <w:rPr>
          <w:rFonts w:ascii="Times New Roman" w:hAnsi="Times New Roman" w:cs="Times New Roman"/>
        </w:rPr>
        <w:t>una hen</w:t>
      </w:r>
      <w:r w:rsidRPr="00DE0EB4">
        <w:rPr>
          <w:rFonts w:ascii="Times New Roman" w:hAnsi="Times New Roman" w:cs="Times New Roman" w:hint="cs"/>
        </w:rPr>
        <w:t>ü</w:t>
      </w:r>
      <w:r w:rsidRPr="00DE0EB4">
        <w:rPr>
          <w:rFonts w:ascii="Times New Roman" w:hAnsi="Times New Roman" w:cs="Times New Roman"/>
        </w:rPr>
        <w:t>z ula</w:t>
      </w:r>
      <w:r w:rsidRPr="00DE0EB4">
        <w:rPr>
          <w:rFonts w:ascii="Times New Roman" w:hAnsi="Times New Roman" w:cs="Times New Roman" w:hint="cs"/>
        </w:rPr>
        <w:t>ş</w:t>
      </w:r>
      <w:r w:rsidRPr="00DE0EB4">
        <w:rPr>
          <w:rFonts w:ascii="Times New Roman" w:hAnsi="Times New Roman" w:cs="Times New Roman"/>
        </w:rPr>
        <w:t>mam</w:t>
      </w:r>
      <w:r w:rsidRPr="00DE0EB4">
        <w:rPr>
          <w:rFonts w:ascii="Times New Roman" w:hAnsi="Times New Roman" w:cs="Times New Roman" w:hint="cs"/>
        </w:rPr>
        <w:t>ış</w:t>
      </w:r>
      <w:r w:rsidRPr="00DE0EB4">
        <w:rPr>
          <w:rFonts w:ascii="Times New Roman" w:hAnsi="Times New Roman" w:cs="Times New Roman"/>
        </w:rPr>
        <w:t xml:space="preserve"> olmas</w:t>
      </w:r>
      <w:r w:rsidRPr="00DE0EB4">
        <w:rPr>
          <w:rFonts w:ascii="Times New Roman" w:hAnsi="Times New Roman" w:cs="Times New Roman" w:hint="cs"/>
        </w:rPr>
        <w:t>ı</w:t>
      </w:r>
      <w:r w:rsidRPr="00DE0EB4">
        <w:rPr>
          <w:rFonts w:ascii="Times New Roman" w:hAnsi="Times New Roman" w:cs="Times New Roman"/>
        </w:rPr>
        <w:t>, raporda ele al</w:t>
      </w:r>
      <w:r w:rsidRPr="00DE0EB4">
        <w:rPr>
          <w:rFonts w:ascii="Times New Roman" w:hAnsi="Times New Roman" w:cs="Times New Roman" w:hint="cs"/>
        </w:rPr>
        <w:t>ı</w:t>
      </w:r>
      <w:r w:rsidRPr="00DE0EB4">
        <w:rPr>
          <w:rFonts w:ascii="Times New Roman" w:hAnsi="Times New Roman" w:cs="Times New Roman"/>
        </w:rPr>
        <w:t>nan g</w:t>
      </w:r>
      <w:r w:rsidRPr="00DE0EB4">
        <w:rPr>
          <w:rFonts w:ascii="Times New Roman" w:hAnsi="Times New Roman" w:cs="Times New Roman" w:hint="cs"/>
        </w:rPr>
        <w:t>ö</w:t>
      </w:r>
      <w:r w:rsidRPr="00DE0EB4">
        <w:rPr>
          <w:rFonts w:ascii="Times New Roman" w:hAnsi="Times New Roman" w:cs="Times New Roman"/>
        </w:rPr>
        <w:t>stergeleri ve risk i</w:t>
      </w:r>
      <w:r w:rsidRPr="00DE0EB4">
        <w:rPr>
          <w:rFonts w:ascii="Times New Roman" w:hAnsi="Times New Roman" w:cs="Times New Roman" w:hint="cs"/>
        </w:rPr>
        <w:t>ş</w:t>
      </w:r>
      <w:r w:rsidRPr="00DE0EB4">
        <w:rPr>
          <w:rFonts w:ascii="Times New Roman" w:hAnsi="Times New Roman" w:cs="Times New Roman"/>
        </w:rPr>
        <w:t>tah</w:t>
      </w:r>
      <w:r w:rsidRPr="00DE0EB4">
        <w:rPr>
          <w:rFonts w:ascii="Times New Roman" w:hAnsi="Times New Roman" w:cs="Times New Roman" w:hint="cs"/>
        </w:rPr>
        <w:t>ı</w:t>
      </w:r>
      <w:r w:rsidRPr="00DE0EB4">
        <w:rPr>
          <w:rFonts w:ascii="Times New Roman" w:hAnsi="Times New Roman" w:cs="Times New Roman"/>
        </w:rPr>
        <w:t xml:space="preserve"> yakla</w:t>
      </w:r>
      <w:r w:rsidRPr="00DE0EB4">
        <w:rPr>
          <w:rFonts w:ascii="Times New Roman" w:hAnsi="Times New Roman" w:cs="Times New Roman" w:hint="cs"/>
        </w:rPr>
        <w:t>şı</w:t>
      </w:r>
      <w:r w:rsidRPr="00DE0EB4">
        <w:rPr>
          <w:rFonts w:ascii="Times New Roman" w:hAnsi="Times New Roman" w:cs="Times New Roman"/>
        </w:rPr>
        <w:t>m</w:t>
      </w:r>
      <w:r w:rsidRPr="00DE0EB4">
        <w:rPr>
          <w:rFonts w:ascii="Times New Roman" w:hAnsi="Times New Roman" w:cs="Times New Roman" w:hint="cs"/>
        </w:rPr>
        <w:t>ı</w:t>
      </w:r>
      <w:r w:rsidRPr="00DE0EB4">
        <w:rPr>
          <w:rFonts w:ascii="Times New Roman" w:hAnsi="Times New Roman" w:cs="Times New Roman"/>
        </w:rPr>
        <w:t>n</w:t>
      </w:r>
      <w:r w:rsidRPr="00DE0EB4">
        <w:rPr>
          <w:rFonts w:ascii="Times New Roman" w:hAnsi="Times New Roman" w:cs="Times New Roman" w:hint="cs"/>
        </w:rPr>
        <w:t>ı</w:t>
      </w:r>
      <w:r w:rsidRPr="00DE0EB4">
        <w:rPr>
          <w:rFonts w:ascii="Times New Roman" w:hAnsi="Times New Roman" w:cs="Times New Roman"/>
        </w:rPr>
        <w:t xml:space="preserve"> </w:t>
      </w:r>
      <w:r w:rsidR="00C5288C">
        <w:rPr>
          <w:rFonts w:ascii="Times New Roman" w:hAnsi="Times New Roman" w:cs="Times New Roman"/>
        </w:rPr>
        <w:t>“</w:t>
      </w:r>
      <w:r w:rsidRPr="00DE0EB4">
        <w:rPr>
          <w:rFonts w:ascii="Times New Roman" w:hAnsi="Times New Roman" w:cs="Times New Roman"/>
        </w:rPr>
        <w:t>kurumumuza uygun olmad</w:t>
      </w:r>
      <w:r w:rsidRPr="00DE0EB4">
        <w:rPr>
          <w:rFonts w:ascii="Times New Roman" w:hAnsi="Times New Roman" w:cs="Times New Roman" w:hint="cs"/>
        </w:rPr>
        <w:t>ığı</w:t>
      </w:r>
      <w:r w:rsidR="00C5288C">
        <w:rPr>
          <w:rFonts w:ascii="Times New Roman" w:hAnsi="Times New Roman" w:cs="Times New Roman"/>
        </w:rPr>
        <w:t>”</w:t>
      </w:r>
      <w:r w:rsidRPr="00DE0EB4">
        <w:rPr>
          <w:rFonts w:ascii="Times New Roman" w:hAnsi="Times New Roman" w:cs="Times New Roman"/>
        </w:rPr>
        <w:t xml:space="preserve"> gerek</w:t>
      </w:r>
      <w:r w:rsidRPr="00DE0EB4">
        <w:rPr>
          <w:rFonts w:ascii="Times New Roman" w:hAnsi="Times New Roman" w:cs="Times New Roman" w:hint="cs"/>
        </w:rPr>
        <w:t>ç</w:t>
      </w:r>
      <w:r w:rsidRPr="00DE0EB4">
        <w:rPr>
          <w:rFonts w:ascii="Times New Roman" w:hAnsi="Times New Roman" w:cs="Times New Roman"/>
        </w:rPr>
        <w:t>esiyle reddetmesini gerektirmez. Aksine, bu ara</w:t>
      </w:r>
      <w:r w:rsidRPr="00DE0EB4">
        <w:rPr>
          <w:rFonts w:ascii="Times New Roman" w:hAnsi="Times New Roman" w:cs="Times New Roman" w:hint="cs"/>
        </w:rPr>
        <w:t>ç</w:t>
      </w:r>
      <w:r w:rsidRPr="00DE0EB4">
        <w:rPr>
          <w:rFonts w:ascii="Times New Roman" w:hAnsi="Times New Roman" w:cs="Times New Roman"/>
        </w:rPr>
        <w:t>lar</w:t>
      </w:r>
      <w:r w:rsidRPr="00DE0EB4">
        <w:rPr>
          <w:rFonts w:ascii="Times New Roman" w:hAnsi="Times New Roman" w:cs="Times New Roman" w:hint="cs"/>
        </w:rPr>
        <w:t>ı</w:t>
      </w:r>
      <w:r w:rsidRPr="00DE0EB4">
        <w:rPr>
          <w:rFonts w:ascii="Times New Roman" w:hAnsi="Times New Roman" w:cs="Times New Roman"/>
        </w:rPr>
        <w:t>n kurumun ko</w:t>
      </w:r>
      <w:r w:rsidRPr="00DE0EB4">
        <w:rPr>
          <w:rFonts w:ascii="Times New Roman" w:hAnsi="Times New Roman" w:cs="Times New Roman" w:hint="cs"/>
        </w:rPr>
        <w:t>ş</w:t>
      </w:r>
      <w:r w:rsidRPr="00DE0EB4">
        <w:rPr>
          <w:rFonts w:ascii="Times New Roman" w:hAnsi="Times New Roman" w:cs="Times New Roman"/>
        </w:rPr>
        <w:t>ullar</w:t>
      </w:r>
      <w:r w:rsidRPr="00DE0EB4">
        <w:rPr>
          <w:rFonts w:ascii="Times New Roman" w:hAnsi="Times New Roman" w:cs="Times New Roman" w:hint="cs"/>
        </w:rPr>
        <w:t>ı</w:t>
      </w:r>
      <w:r w:rsidRPr="00DE0EB4">
        <w:rPr>
          <w:rFonts w:ascii="Times New Roman" w:hAnsi="Times New Roman" w:cs="Times New Roman"/>
        </w:rPr>
        <w:t>na g</w:t>
      </w:r>
      <w:r w:rsidRPr="00DE0EB4">
        <w:rPr>
          <w:rFonts w:ascii="Times New Roman" w:hAnsi="Times New Roman" w:cs="Times New Roman" w:hint="cs"/>
        </w:rPr>
        <w:t>ö</w:t>
      </w:r>
      <w:r w:rsidRPr="00DE0EB4">
        <w:rPr>
          <w:rFonts w:ascii="Times New Roman" w:hAnsi="Times New Roman" w:cs="Times New Roman"/>
        </w:rPr>
        <w:t>re uyarlanarak gelecek d</w:t>
      </w:r>
      <w:r w:rsidRPr="00DE0EB4">
        <w:rPr>
          <w:rFonts w:ascii="Times New Roman" w:hAnsi="Times New Roman" w:cs="Times New Roman" w:hint="cs"/>
        </w:rPr>
        <w:t>ö</w:t>
      </w:r>
      <w:r w:rsidRPr="00DE0EB4">
        <w:rPr>
          <w:rFonts w:ascii="Times New Roman" w:hAnsi="Times New Roman" w:cs="Times New Roman"/>
        </w:rPr>
        <w:t>nem planlar</w:t>
      </w:r>
      <w:r w:rsidRPr="00DE0EB4">
        <w:rPr>
          <w:rFonts w:ascii="Times New Roman" w:hAnsi="Times New Roman" w:cs="Times New Roman" w:hint="cs"/>
        </w:rPr>
        <w:t>ı</w:t>
      </w:r>
      <w:r w:rsidRPr="00DE0EB4">
        <w:rPr>
          <w:rFonts w:ascii="Times New Roman" w:hAnsi="Times New Roman" w:cs="Times New Roman"/>
        </w:rPr>
        <w:t>na d</w:t>
      </w:r>
      <w:r w:rsidRPr="00DE0EB4">
        <w:rPr>
          <w:rFonts w:ascii="Times New Roman" w:hAnsi="Times New Roman" w:cs="Times New Roman" w:hint="cs"/>
        </w:rPr>
        <w:t>â</w:t>
      </w:r>
      <w:r w:rsidR="00AC687B">
        <w:rPr>
          <w:rFonts w:ascii="Times New Roman" w:hAnsi="Times New Roman" w:cs="Times New Roman"/>
        </w:rPr>
        <w:t>hil edilmesine,</w:t>
      </w:r>
      <w:r w:rsidRPr="00DE0EB4">
        <w:rPr>
          <w:rFonts w:ascii="Times New Roman" w:hAnsi="Times New Roman" w:cs="Times New Roman"/>
        </w:rPr>
        <w:t xml:space="preserve"> kurumsal hedeflerin somutla</w:t>
      </w:r>
      <w:r w:rsidRPr="00DE0EB4">
        <w:rPr>
          <w:rFonts w:ascii="Times New Roman" w:hAnsi="Times New Roman" w:cs="Times New Roman" w:hint="cs"/>
        </w:rPr>
        <w:t>ş</w:t>
      </w:r>
      <w:r w:rsidRPr="00DE0EB4">
        <w:rPr>
          <w:rFonts w:ascii="Times New Roman" w:hAnsi="Times New Roman" w:cs="Times New Roman"/>
        </w:rPr>
        <w:t>t</w:t>
      </w:r>
      <w:r w:rsidRPr="00DE0EB4">
        <w:rPr>
          <w:rFonts w:ascii="Times New Roman" w:hAnsi="Times New Roman" w:cs="Times New Roman" w:hint="cs"/>
        </w:rPr>
        <w:t>ı</w:t>
      </w:r>
      <w:r w:rsidRPr="00DE0EB4">
        <w:rPr>
          <w:rFonts w:ascii="Times New Roman" w:hAnsi="Times New Roman" w:cs="Times New Roman"/>
        </w:rPr>
        <w:t>r</w:t>
      </w:r>
      <w:r w:rsidRPr="00DE0EB4">
        <w:rPr>
          <w:rFonts w:ascii="Times New Roman" w:hAnsi="Times New Roman" w:cs="Times New Roman" w:hint="cs"/>
        </w:rPr>
        <w:t>ı</w:t>
      </w:r>
      <w:r w:rsidRPr="00DE0EB4">
        <w:rPr>
          <w:rFonts w:ascii="Times New Roman" w:hAnsi="Times New Roman" w:cs="Times New Roman"/>
        </w:rPr>
        <w:t>lmas</w:t>
      </w:r>
      <w:r w:rsidRPr="00DE0EB4">
        <w:rPr>
          <w:rFonts w:ascii="Times New Roman" w:hAnsi="Times New Roman" w:cs="Times New Roman" w:hint="cs"/>
        </w:rPr>
        <w:t>ı</w:t>
      </w:r>
      <w:r w:rsidRPr="00DE0EB4">
        <w:rPr>
          <w:rFonts w:ascii="Times New Roman" w:hAnsi="Times New Roman" w:cs="Times New Roman"/>
        </w:rPr>
        <w:t xml:space="preserve">na, izleme </w:t>
      </w:r>
      <w:r w:rsidRPr="00DE0EB4">
        <w:rPr>
          <w:rFonts w:ascii="Times New Roman" w:hAnsi="Times New Roman" w:cs="Times New Roman" w:hint="cs"/>
        </w:rPr>
        <w:t>ö</w:t>
      </w:r>
      <w:r w:rsidRPr="00DE0EB4">
        <w:rPr>
          <w:rFonts w:ascii="Times New Roman" w:hAnsi="Times New Roman" w:cs="Times New Roman"/>
        </w:rPr>
        <w:t>l</w:t>
      </w:r>
      <w:r w:rsidRPr="00DE0EB4">
        <w:rPr>
          <w:rFonts w:ascii="Times New Roman" w:hAnsi="Times New Roman" w:cs="Times New Roman" w:hint="cs"/>
        </w:rPr>
        <w:t>çü</w:t>
      </w:r>
      <w:r w:rsidRPr="00DE0EB4">
        <w:rPr>
          <w:rFonts w:ascii="Times New Roman" w:hAnsi="Times New Roman" w:cs="Times New Roman"/>
        </w:rPr>
        <w:t>tlerinin belirlenmesine ve geli</w:t>
      </w:r>
      <w:r w:rsidRPr="00DE0EB4">
        <w:rPr>
          <w:rFonts w:ascii="Times New Roman" w:hAnsi="Times New Roman" w:cs="Times New Roman" w:hint="cs"/>
        </w:rPr>
        <w:t>ş</w:t>
      </w:r>
      <w:r w:rsidRPr="00DE0EB4">
        <w:rPr>
          <w:rFonts w:ascii="Times New Roman" w:hAnsi="Times New Roman" w:cs="Times New Roman"/>
        </w:rPr>
        <w:t xml:space="preserve">im </w:t>
      </w:r>
      <w:r w:rsidRPr="00DE0EB4">
        <w:rPr>
          <w:rFonts w:ascii="Times New Roman" w:hAnsi="Times New Roman" w:cs="Times New Roman" w:hint="cs"/>
        </w:rPr>
        <w:t>ö</w:t>
      </w:r>
      <w:r w:rsidRPr="00DE0EB4">
        <w:rPr>
          <w:rFonts w:ascii="Times New Roman" w:hAnsi="Times New Roman" w:cs="Times New Roman"/>
        </w:rPr>
        <w:t>nceliklerinin netle</w:t>
      </w:r>
      <w:r w:rsidRPr="00DE0EB4">
        <w:rPr>
          <w:rFonts w:ascii="Times New Roman" w:hAnsi="Times New Roman" w:cs="Times New Roman" w:hint="cs"/>
        </w:rPr>
        <w:t>ş</w:t>
      </w:r>
      <w:r w:rsidRPr="00DE0EB4">
        <w:rPr>
          <w:rFonts w:ascii="Times New Roman" w:hAnsi="Times New Roman" w:cs="Times New Roman"/>
        </w:rPr>
        <w:t>tirilmesine katk</w:t>
      </w:r>
      <w:r w:rsidRPr="00DE0EB4">
        <w:rPr>
          <w:rFonts w:ascii="Times New Roman" w:hAnsi="Times New Roman" w:cs="Times New Roman" w:hint="cs"/>
        </w:rPr>
        <w:t>ı</w:t>
      </w:r>
      <w:r w:rsidRPr="00DE0EB4">
        <w:rPr>
          <w:rFonts w:ascii="Times New Roman" w:hAnsi="Times New Roman" w:cs="Times New Roman"/>
        </w:rPr>
        <w:t xml:space="preserve"> sa</w:t>
      </w:r>
      <w:r w:rsidRPr="00DE0EB4">
        <w:rPr>
          <w:rFonts w:ascii="Times New Roman" w:hAnsi="Times New Roman" w:cs="Times New Roman" w:hint="cs"/>
        </w:rPr>
        <w:t>ğ</w:t>
      </w:r>
      <w:r>
        <w:rPr>
          <w:rFonts w:ascii="Times New Roman" w:hAnsi="Times New Roman" w:cs="Times New Roman"/>
        </w:rPr>
        <w:t>layabilir</w:t>
      </w:r>
      <w:r w:rsidR="00637F9D">
        <w:t>.</w:t>
      </w:r>
    </w:p>
    <w:p w14:paraId="3461B8C2" w14:textId="77777777" w:rsidR="00E07CA6" w:rsidRPr="000D340F" w:rsidRDefault="00635DB6" w:rsidP="00AB6BF4">
      <w:pPr>
        <w:pStyle w:val="Balk2"/>
        <w:numPr>
          <w:ilvl w:val="0"/>
          <w:numId w:val="10"/>
        </w:numPr>
        <w:rPr>
          <w:rFonts w:cs="Times New Roman"/>
        </w:rPr>
      </w:pPr>
      <w:r w:rsidRPr="000D340F">
        <w:rPr>
          <w:rFonts w:cs="Times New Roman"/>
        </w:rPr>
        <w:t xml:space="preserve">Göstergelerin </w:t>
      </w:r>
      <w:r w:rsidR="00E8035F" w:rsidRPr="000D340F">
        <w:rPr>
          <w:rFonts w:cs="Times New Roman"/>
        </w:rPr>
        <w:t>Amacı</w:t>
      </w:r>
    </w:p>
    <w:p w14:paraId="23F9B9C1" w14:textId="77777777" w:rsidR="00E07CA6" w:rsidRPr="00A40B3B" w:rsidRDefault="00635DB6" w:rsidP="001E41BE">
      <w:pPr>
        <w:jc w:val="both"/>
        <w:rPr>
          <w:rFonts w:ascii="Times New Roman" w:hAnsi="Times New Roman" w:cs="Times New Roman"/>
        </w:rPr>
      </w:pPr>
      <w:r w:rsidRPr="00A40B3B">
        <w:rPr>
          <w:rFonts w:ascii="Times New Roman" w:hAnsi="Times New Roman" w:cs="Times New Roman"/>
        </w:rPr>
        <w:t xml:space="preserve">Üniversiteler bilgi üretir, eğitim sunar ve toplumsal gelişime katkı sağlar. Bu görevler; akademik özgürlük, güvenli öğrenme ortamı, mali sürdürülebilirlik ve kurumsal güven gibi birbirini tamamlayan koşullara dayanır. Bu alanlardaki belirsizlikleri görünür kılmak için kullanılan risk göstergeleri, olası sorunları erken fark etmeye ve uygun zamanda karar almaya yardımcı olur. Amaç kurumları etiketlemek ya da tek bir ölçüte göre sıralamak değil; üniversitenin kendi </w:t>
      </w:r>
      <w:proofErr w:type="gramStart"/>
      <w:r w:rsidRPr="00A40B3B">
        <w:rPr>
          <w:rFonts w:ascii="Times New Roman" w:hAnsi="Times New Roman" w:cs="Times New Roman"/>
        </w:rPr>
        <w:t>misyonu</w:t>
      </w:r>
      <w:proofErr w:type="gramEnd"/>
      <w:r w:rsidRPr="00A40B3B">
        <w:rPr>
          <w:rFonts w:ascii="Times New Roman" w:hAnsi="Times New Roman" w:cs="Times New Roman"/>
        </w:rPr>
        <w:t xml:space="preserve"> ve koşulları içinde sürdürülebilir performansını desteklemektir.</w:t>
      </w:r>
    </w:p>
    <w:p w14:paraId="3E57DB55" w14:textId="7E45055C" w:rsidR="00E07CA6" w:rsidRPr="00A40B3B" w:rsidRDefault="00A90FCA" w:rsidP="001E41BE">
      <w:pPr>
        <w:jc w:val="both"/>
        <w:rPr>
          <w:rFonts w:ascii="Times New Roman" w:hAnsi="Times New Roman" w:cs="Times New Roman"/>
        </w:rPr>
      </w:pPr>
      <w:r w:rsidRPr="00A40B3B">
        <w:rPr>
          <w:rFonts w:ascii="Times New Roman" w:hAnsi="Times New Roman" w:cs="Times New Roman"/>
          <w:b/>
        </w:rPr>
        <w:t>Risk g</w:t>
      </w:r>
      <w:r w:rsidRPr="00A40B3B">
        <w:rPr>
          <w:rFonts w:ascii="Times New Roman" w:hAnsi="Times New Roman" w:cs="Times New Roman" w:hint="cs"/>
          <w:b/>
        </w:rPr>
        <w:t>ö</w:t>
      </w:r>
      <w:r w:rsidRPr="00A40B3B">
        <w:rPr>
          <w:rFonts w:ascii="Times New Roman" w:hAnsi="Times New Roman" w:cs="Times New Roman"/>
          <w:b/>
        </w:rPr>
        <w:t>stergesi</w:t>
      </w:r>
      <w:r w:rsidRPr="00A40B3B">
        <w:rPr>
          <w:rFonts w:ascii="Times New Roman" w:hAnsi="Times New Roman" w:cs="Times New Roman"/>
        </w:rPr>
        <w:t>, belirli bir hedefin ger</w:t>
      </w:r>
      <w:r w:rsidRPr="00A40B3B">
        <w:rPr>
          <w:rFonts w:ascii="Times New Roman" w:hAnsi="Times New Roman" w:cs="Times New Roman" w:hint="cs"/>
        </w:rPr>
        <w:t>ç</w:t>
      </w:r>
      <w:r w:rsidRPr="00A40B3B">
        <w:rPr>
          <w:rFonts w:ascii="Times New Roman" w:hAnsi="Times New Roman" w:cs="Times New Roman"/>
        </w:rPr>
        <w:t>ekle</w:t>
      </w:r>
      <w:r w:rsidRPr="00A40B3B">
        <w:rPr>
          <w:rFonts w:ascii="Times New Roman" w:hAnsi="Times New Roman" w:cs="Times New Roman" w:hint="cs"/>
        </w:rPr>
        <w:t>ş</w:t>
      </w:r>
      <w:r w:rsidRPr="00A40B3B">
        <w:rPr>
          <w:rFonts w:ascii="Times New Roman" w:hAnsi="Times New Roman" w:cs="Times New Roman"/>
        </w:rPr>
        <w:t>mesini etkileyebilecek de</w:t>
      </w:r>
      <w:r w:rsidRPr="00A40B3B">
        <w:rPr>
          <w:rFonts w:ascii="Times New Roman" w:hAnsi="Times New Roman" w:cs="Times New Roman" w:hint="cs"/>
        </w:rPr>
        <w:t>ğ</w:t>
      </w:r>
      <w:r w:rsidRPr="00A40B3B">
        <w:rPr>
          <w:rFonts w:ascii="Times New Roman" w:hAnsi="Times New Roman" w:cs="Times New Roman"/>
        </w:rPr>
        <w:t>i</w:t>
      </w:r>
      <w:r w:rsidRPr="00A40B3B">
        <w:rPr>
          <w:rFonts w:ascii="Times New Roman" w:hAnsi="Times New Roman" w:cs="Times New Roman" w:hint="cs"/>
        </w:rPr>
        <w:t>ş</w:t>
      </w:r>
      <w:r w:rsidRPr="00A40B3B">
        <w:rPr>
          <w:rFonts w:ascii="Times New Roman" w:hAnsi="Times New Roman" w:cs="Times New Roman"/>
        </w:rPr>
        <w:t xml:space="preserve">imi izleyen </w:t>
      </w:r>
      <w:r w:rsidRPr="00A40B3B">
        <w:rPr>
          <w:rFonts w:ascii="Times New Roman" w:hAnsi="Times New Roman" w:cs="Times New Roman" w:hint="cs"/>
        </w:rPr>
        <w:t>ö</w:t>
      </w:r>
      <w:r w:rsidRPr="00A40B3B">
        <w:rPr>
          <w:rFonts w:ascii="Times New Roman" w:hAnsi="Times New Roman" w:cs="Times New Roman"/>
        </w:rPr>
        <w:t>l</w:t>
      </w:r>
      <w:r w:rsidRPr="00A40B3B">
        <w:rPr>
          <w:rFonts w:ascii="Times New Roman" w:hAnsi="Times New Roman" w:cs="Times New Roman" w:hint="cs"/>
        </w:rPr>
        <w:t>çü</w:t>
      </w:r>
      <w:r w:rsidRPr="00A40B3B">
        <w:rPr>
          <w:rFonts w:ascii="Times New Roman" w:hAnsi="Times New Roman" w:cs="Times New Roman"/>
        </w:rPr>
        <w:t>lebilir veya d</w:t>
      </w:r>
      <w:r w:rsidRPr="00A40B3B">
        <w:rPr>
          <w:rFonts w:ascii="Times New Roman" w:hAnsi="Times New Roman" w:cs="Times New Roman" w:hint="cs"/>
        </w:rPr>
        <w:t>ü</w:t>
      </w:r>
      <w:r w:rsidRPr="00A40B3B">
        <w:rPr>
          <w:rFonts w:ascii="Times New Roman" w:hAnsi="Times New Roman" w:cs="Times New Roman"/>
        </w:rPr>
        <w:t>zenli olarak de</w:t>
      </w:r>
      <w:r w:rsidRPr="00A40B3B">
        <w:rPr>
          <w:rFonts w:ascii="Times New Roman" w:hAnsi="Times New Roman" w:cs="Times New Roman" w:hint="cs"/>
        </w:rPr>
        <w:t>ğ</w:t>
      </w:r>
      <w:r w:rsidRPr="00A40B3B">
        <w:rPr>
          <w:rFonts w:ascii="Times New Roman" w:hAnsi="Times New Roman" w:cs="Times New Roman"/>
        </w:rPr>
        <w:t>erlendirilebilir bir i</w:t>
      </w:r>
      <w:r w:rsidRPr="00A40B3B">
        <w:rPr>
          <w:rFonts w:ascii="Times New Roman" w:hAnsi="Times New Roman" w:cs="Times New Roman" w:hint="cs"/>
        </w:rPr>
        <w:t>ş</w:t>
      </w:r>
      <w:r w:rsidRPr="00A40B3B">
        <w:rPr>
          <w:rFonts w:ascii="Times New Roman" w:hAnsi="Times New Roman" w:cs="Times New Roman"/>
        </w:rPr>
        <w:t xml:space="preserve">arettir. </w:t>
      </w:r>
      <w:r w:rsidRPr="00A40B3B">
        <w:rPr>
          <w:rFonts w:ascii="Times New Roman" w:hAnsi="Times New Roman" w:cs="Times New Roman"/>
          <w:b/>
        </w:rPr>
        <w:t>Risk i</w:t>
      </w:r>
      <w:r w:rsidRPr="00A40B3B">
        <w:rPr>
          <w:rFonts w:ascii="Times New Roman" w:hAnsi="Times New Roman" w:cs="Times New Roman" w:hint="cs"/>
          <w:b/>
        </w:rPr>
        <w:t>ş</w:t>
      </w:r>
      <w:r w:rsidRPr="00A40B3B">
        <w:rPr>
          <w:rFonts w:ascii="Times New Roman" w:hAnsi="Times New Roman" w:cs="Times New Roman"/>
          <w:b/>
        </w:rPr>
        <w:t>tah</w:t>
      </w:r>
      <w:r w:rsidRPr="00A40B3B">
        <w:rPr>
          <w:rFonts w:ascii="Times New Roman" w:hAnsi="Times New Roman" w:cs="Times New Roman" w:hint="cs"/>
          <w:b/>
        </w:rPr>
        <w:t>ı</w:t>
      </w:r>
      <w:r w:rsidRPr="00A40B3B">
        <w:rPr>
          <w:rFonts w:ascii="Times New Roman" w:hAnsi="Times New Roman" w:cs="Times New Roman"/>
        </w:rPr>
        <w:t xml:space="preserve">, </w:t>
      </w:r>
      <w:r w:rsidRPr="00A40B3B">
        <w:rPr>
          <w:rFonts w:ascii="Times New Roman" w:hAnsi="Times New Roman" w:cs="Times New Roman" w:hint="cs"/>
        </w:rPr>
        <w:t>ü</w:t>
      </w:r>
      <w:r w:rsidRPr="00A40B3B">
        <w:rPr>
          <w:rFonts w:ascii="Times New Roman" w:hAnsi="Times New Roman" w:cs="Times New Roman"/>
        </w:rPr>
        <w:t>niversitenin hedeflerine ula</w:t>
      </w:r>
      <w:r w:rsidRPr="00A40B3B">
        <w:rPr>
          <w:rFonts w:ascii="Times New Roman" w:hAnsi="Times New Roman" w:cs="Times New Roman" w:hint="cs"/>
        </w:rPr>
        <w:t>ş</w:t>
      </w:r>
      <w:r w:rsidRPr="00A40B3B">
        <w:rPr>
          <w:rFonts w:ascii="Times New Roman" w:hAnsi="Times New Roman" w:cs="Times New Roman"/>
        </w:rPr>
        <w:t>mak i</w:t>
      </w:r>
      <w:r w:rsidRPr="00A40B3B">
        <w:rPr>
          <w:rFonts w:ascii="Times New Roman" w:hAnsi="Times New Roman" w:cs="Times New Roman" w:hint="cs"/>
        </w:rPr>
        <w:t>ç</w:t>
      </w:r>
      <w:r w:rsidRPr="00A40B3B">
        <w:rPr>
          <w:rFonts w:ascii="Times New Roman" w:hAnsi="Times New Roman" w:cs="Times New Roman"/>
        </w:rPr>
        <w:t>in kabul etmeye haz</w:t>
      </w:r>
      <w:r w:rsidRPr="00A40B3B">
        <w:rPr>
          <w:rFonts w:ascii="Times New Roman" w:hAnsi="Times New Roman" w:cs="Times New Roman" w:hint="cs"/>
        </w:rPr>
        <w:t>ı</w:t>
      </w:r>
      <w:r w:rsidRPr="00A40B3B">
        <w:rPr>
          <w:rFonts w:ascii="Times New Roman" w:hAnsi="Times New Roman" w:cs="Times New Roman"/>
        </w:rPr>
        <w:t>r oldu</w:t>
      </w:r>
      <w:r w:rsidRPr="00A40B3B">
        <w:rPr>
          <w:rFonts w:ascii="Times New Roman" w:hAnsi="Times New Roman" w:cs="Times New Roman" w:hint="cs"/>
        </w:rPr>
        <w:t>ğ</w:t>
      </w:r>
      <w:r w:rsidRPr="00A40B3B">
        <w:rPr>
          <w:rFonts w:ascii="Times New Roman" w:hAnsi="Times New Roman" w:cs="Times New Roman"/>
        </w:rPr>
        <w:t>u risk d</w:t>
      </w:r>
      <w:r w:rsidRPr="00A40B3B">
        <w:rPr>
          <w:rFonts w:ascii="Times New Roman" w:hAnsi="Times New Roman" w:cs="Times New Roman" w:hint="cs"/>
        </w:rPr>
        <w:t>ü</w:t>
      </w:r>
      <w:r w:rsidRPr="00A40B3B">
        <w:rPr>
          <w:rFonts w:ascii="Times New Roman" w:hAnsi="Times New Roman" w:cs="Times New Roman"/>
        </w:rPr>
        <w:t xml:space="preserve">zeyini ifade eder. </w:t>
      </w:r>
      <w:r w:rsidRPr="00A40B3B">
        <w:rPr>
          <w:rFonts w:ascii="Times New Roman" w:hAnsi="Times New Roman" w:cs="Times New Roman"/>
          <w:b/>
        </w:rPr>
        <w:t>Temel performans g</w:t>
      </w:r>
      <w:r w:rsidRPr="00A40B3B">
        <w:rPr>
          <w:rFonts w:ascii="Times New Roman" w:hAnsi="Times New Roman" w:cs="Times New Roman" w:hint="cs"/>
          <w:b/>
        </w:rPr>
        <w:t>ö</w:t>
      </w:r>
      <w:r w:rsidRPr="00A40B3B">
        <w:rPr>
          <w:rFonts w:ascii="Times New Roman" w:hAnsi="Times New Roman" w:cs="Times New Roman"/>
          <w:b/>
        </w:rPr>
        <w:t>stergeleri</w:t>
      </w:r>
      <w:r w:rsidRPr="00A40B3B">
        <w:rPr>
          <w:rFonts w:ascii="Times New Roman" w:hAnsi="Times New Roman" w:cs="Times New Roman"/>
        </w:rPr>
        <w:t xml:space="preserve"> hedeflere ne </w:t>
      </w:r>
      <w:r w:rsidRPr="00A40B3B">
        <w:rPr>
          <w:rFonts w:ascii="Times New Roman" w:hAnsi="Times New Roman" w:cs="Times New Roman" w:hint="cs"/>
        </w:rPr>
        <w:t>ö</w:t>
      </w:r>
      <w:r w:rsidRPr="00A40B3B">
        <w:rPr>
          <w:rFonts w:ascii="Times New Roman" w:hAnsi="Times New Roman" w:cs="Times New Roman"/>
        </w:rPr>
        <w:t>l</w:t>
      </w:r>
      <w:r w:rsidRPr="00A40B3B">
        <w:rPr>
          <w:rFonts w:ascii="Times New Roman" w:hAnsi="Times New Roman" w:cs="Times New Roman" w:hint="cs"/>
        </w:rPr>
        <w:t>çü</w:t>
      </w:r>
      <w:r w:rsidRPr="00A40B3B">
        <w:rPr>
          <w:rFonts w:ascii="Times New Roman" w:hAnsi="Times New Roman" w:cs="Times New Roman"/>
        </w:rPr>
        <w:t>de ula</w:t>
      </w:r>
      <w:r w:rsidRPr="00A40B3B">
        <w:rPr>
          <w:rFonts w:ascii="Times New Roman" w:hAnsi="Times New Roman" w:cs="Times New Roman" w:hint="cs"/>
        </w:rPr>
        <w:t>şı</w:t>
      </w:r>
      <w:r w:rsidRPr="00A40B3B">
        <w:rPr>
          <w:rFonts w:ascii="Times New Roman" w:hAnsi="Times New Roman" w:cs="Times New Roman"/>
        </w:rPr>
        <w:t>ld</w:t>
      </w:r>
      <w:r w:rsidRPr="00A40B3B">
        <w:rPr>
          <w:rFonts w:ascii="Times New Roman" w:hAnsi="Times New Roman" w:cs="Times New Roman" w:hint="cs"/>
        </w:rPr>
        <w:t>ığı</w:t>
      </w:r>
      <w:r w:rsidRPr="00A40B3B">
        <w:rPr>
          <w:rFonts w:ascii="Times New Roman" w:hAnsi="Times New Roman" w:cs="Times New Roman"/>
        </w:rPr>
        <w:t>n</w:t>
      </w:r>
      <w:r w:rsidRPr="00A40B3B">
        <w:rPr>
          <w:rFonts w:ascii="Times New Roman" w:hAnsi="Times New Roman" w:cs="Times New Roman" w:hint="cs"/>
        </w:rPr>
        <w:t>ı</w:t>
      </w:r>
      <w:r w:rsidRPr="00A40B3B">
        <w:rPr>
          <w:rFonts w:ascii="Times New Roman" w:hAnsi="Times New Roman" w:cs="Times New Roman"/>
        </w:rPr>
        <w:t xml:space="preserve"> g</w:t>
      </w:r>
      <w:r w:rsidRPr="00A40B3B">
        <w:rPr>
          <w:rFonts w:ascii="Times New Roman" w:hAnsi="Times New Roman" w:cs="Times New Roman" w:hint="cs"/>
        </w:rPr>
        <w:t>ö</w:t>
      </w:r>
      <w:r w:rsidRPr="00A40B3B">
        <w:rPr>
          <w:rFonts w:ascii="Times New Roman" w:hAnsi="Times New Roman" w:cs="Times New Roman"/>
        </w:rPr>
        <w:t>sterirken, temel risk g</w:t>
      </w:r>
      <w:r w:rsidRPr="00A40B3B">
        <w:rPr>
          <w:rFonts w:ascii="Times New Roman" w:hAnsi="Times New Roman" w:cs="Times New Roman" w:hint="cs"/>
        </w:rPr>
        <w:t>ö</w:t>
      </w:r>
      <w:r w:rsidRPr="00A40B3B">
        <w:rPr>
          <w:rFonts w:ascii="Times New Roman" w:hAnsi="Times New Roman" w:cs="Times New Roman"/>
        </w:rPr>
        <w:t>stergeleri bu sonu</w:t>
      </w:r>
      <w:r w:rsidRPr="00A40B3B">
        <w:rPr>
          <w:rFonts w:ascii="Times New Roman" w:hAnsi="Times New Roman" w:cs="Times New Roman" w:hint="cs"/>
        </w:rPr>
        <w:t>ç</w:t>
      </w:r>
      <w:r w:rsidRPr="00A40B3B">
        <w:rPr>
          <w:rFonts w:ascii="Times New Roman" w:hAnsi="Times New Roman" w:cs="Times New Roman"/>
        </w:rPr>
        <w:t>lar</w:t>
      </w:r>
      <w:r w:rsidRPr="00A40B3B">
        <w:rPr>
          <w:rFonts w:ascii="Times New Roman" w:hAnsi="Times New Roman" w:cs="Times New Roman" w:hint="cs"/>
        </w:rPr>
        <w:t>ı</w:t>
      </w:r>
      <w:r w:rsidRPr="00A40B3B">
        <w:rPr>
          <w:rFonts w:ascii="Times New Roman" w:hAnsi="Times New Roman" w:cs="Times New Roman"/>
        </w:rPr>
        <w:t>n olumsuz etkilenebilece</w:t>
      </w:r>
      <w:r w:rsidRPr="00A40B3B">
        <w:rPr>
          <w:rFonts w:ascii="Times New Roman" w:hAnsi="Times New Roman" w:cs="Times New Roman" w:hint="cs"/>
        </w:rPr>
        <w:t>ğ</w:t>
      </w:r>
      <w:r w:rsidRPr="00A40B3B">
        <w:rPr>
          <w:rFonts w:ascii="Times New Roman" w:hAnsi="Times New Roman" w:cs="Times New Roman"/>
        </w:rPr>
        <w:t>ine ili</w:t>
      </w:r>
      <w:r w:rsidRPr="00A40B3B">
        <w:rPr>
          <w:rFonts w:ascii="Times New Roman" w:hAnsi="Times New Roman" w:cs="Times New Roman" w:hint="cs"/>
        </w:rPr>
        <w:t>ş</w:t>
      </w:r>
      <w:r w:rsidRPr="00A40B3B">
        <w:rPr>
          <w:rFonts w:ascii="Times New Roman" w:hAnsi="Times New Roman" w:cs="Times New Roman"/>
        </w:rPr>
        <w:t>kin erken sinyal verir. Risk i</w:t>
      </w:r>
      <w:r w:rsidRPr="00A40B3B">
        <w:rPr>
          <w:rFonts w:ascii="Times New Roman" w:hAnsi="Times New Roman" w:cs="Times New Roman" w:hint="cs"/>
        </w:rPr>
        <w:t>ş</w:t>
      </w:r>
      <w:r w:rsidRPr="00A40B3B">
        <w:rPr>
          <w:rFonts w:ascii="Times New Roman" w:hAnsi="Times New Roman" w:cs="Times New Roman"/>
        </w:rPr>
        <w:t>tah</w:t>
      </w:r>
      <w:r w:rsidRPr="00A40B3B">
        <w:rPr>
          <w:rFonts w:ascii="Times New Roman" w:hAnsi="Times New Roman" w:cs="Times New Roman" w:hint="cs"/>
        </w:rPr>
        <w:t>ı</w:t>
      </w:r>
      <w:r w:rsidRPr="00A40B3B">
        <w:rPr>
          <w:rFonts w:ascii="Times New Roman" w:hAnsi="Times New Roman" w:cs="Times New Roman"/>
        </w:rPr>
        <w:t>, bu risklerden hangilerinin hangi d</w:t>
      </w:r>
      <w:r w:rsidRPr="00A40B3B">
        <w:rPr>
          <w:rFonts w:ascii="Times New Roman" w:hAnsi="Times New Roman" w:cs="Times New Roman" w:hint="cs"/>
        </w:rPr>
        <w:t>ü</w:t>
      </w:r>
      <w:r w:rsidRPr="00A40B3B">
        <w:rPr>
          <w:rFonts w:ascii="Times New Roman" w:hAnsi="Times New Roman" w:cs="Times New Roman"/>
        </w:rPr>
        <w:t>zeye kadar kabul edilebilir oldu</w:t>
      </w:r>
      <w:r w:rsidRPr="00A40B3B">
        <w:rPr>
          <w:rFonts w:ascii="Times New Roman" w:hAnsi="Times New Roman" w:cs="Times New Roman" w:hint="cs"/>
        </w:rPr>
        <w:t>ğ</w:t>
      </w:r>
      <w:r w:rsidRPr="00A40B3B">
        <w:rPr>
          <w:rFonts w:ascii="Times New Roman" w:hAnsi="Times New Roman" w:cs="Times New Roman"/>
        </w:rPr>
        <w:t>unu belirleyerek g</w:t>
      </w:r>
      <w:r w:rsidRPr="00A40B3B">
        <w:rPr>
          <w:rFonts w:ascii="Times New Roman" w:hAnsi="Times New Roman" w:cs="Times New Roman" w:hint="cs"/>
        </w:rPr>
        <w:t>ö</w:t>
      </w:r>
      <w:r w:rsidRPr="00A40B3B">
        <w:rPr>
          <w:rFonts w:ascii="Times New Roman" w:hAnsi="Times New Roman" w:cs="Times New Roman"/>
        </w:rPr>
        <w:t>stergelerin e</w:t>
      </w:r>
      <w:r w:rsidRPr="00A40B3B">
        <w:rPr>
          <w:rFonts w:ascii="Times New Roman" w:hAnsi="Times New Roman" w:cs="Times New Roman" w:hint="cs"/>
        </w:rPr>
        <w:t>ş</w:t>
      </w:r>
      <w:r w:rsidRPr="00A40B3B">
        <w:rPr>
          <w:rFonts w:ascii="Times New Roman" w:hAnsi="Times New Roman" w:cs="Times New Roman"/>
        </w:rPr>
        <w:t>iklerinin yorumlanmas</w:t>
      </w:r>
      <w:r w:rsidRPr="00A40B3B">
        <w:rPr>
          <w:rFonts w:ascii="Times New Roman" w:hAnsi="Times New Roman" w:cs="Times New Roman" w:hint="cs"/>
        </w:rPr>
        <w:t>ı</w:t>
      </w:r>
      <w:r w:rsidRPr="00A40B3B">
        <w:rPr>
          <w:rFonts w:ascii="Times New Roman" w:hAnsi="Times New Roman" w:cs="Times New Roman"/>
        </w:rPr>
        <w:t xml:space="preserve">na rehberlik eder. </w:t>
      </w:r>
      <w:r w:rsidR="00635DB6" w:rsidRPr="00A40B3B">
        <w:rPr>
          <w:rFonts w:ascii="Times New Roman" w:hAnsi="Times New Roman" w:cs="Times New Roman"/>
        </w:rPr>
        <w:t>Örneğin</w:t>
      </w:r>
      <w:r w:rsidRPr="00A40B3B">
        <w:rPr>
          <w:rFonts w:ascii="Times New Roman" w:hAnsi="Times New Roman" w:cs="Times New Roman"/>
        </w:rPr>
        <w:t>,</w:t>
      </w:r>
      <w:r w:rsidR="00635DB6" w:rsidRPr="00A40B3B">
        <w:rPr>
          <w:rFonts w:ascii="Times New Roman" w:hAnsi="Times New Roman" w:cs="Times New Roman"/>
        </w:rPr>
        <w:t xml:space="preserve"> mezuniyet oranı bir performans göstergesi olabilir; ders bırakma oranındaki hızlı artış, akademik destek ihtiyacına işaret eden bir risk göstergesidir. İki tür gösterge birlikte ele alındığında karar vericiler hem mevcut sonucu hem de sonuca giden koşulları görebilir.</w:t>
      </w:r>
    </w:p>
    <w:p w14:paraId="4B862AE3" w14:textId="77777777" w:rsidR="00E07CA6" w:rsidRPr="000D340F" w:rsidRDefault="00635DB6" w:rsidP="00AB6BF4">
      <w:pPr>
        <w:pStyle w:val="Balk2"/>
        <w:numPr>
          <w:ilvl w:val="0"/>
          <w:numId w:val="10"/>
        </w:numPr>
        <w:rPr>
          <w:rFonts w:cs="Times New Roman"/>
        </w:rPr>
      </w:pPr>
      <w:r w:rsidRPr="000D340F">
        <w:rPr>
          <w:rFonts w:cs="Times New Roman"/>
        </w:rPr>
        <w:t xml:space="preserve">Üniversite </w:t>
      </w:r>
      <w:r w:rsidR="00E8035F" w:rsidRPr="000D340F">
        <w:rPr>
          <w:rFonts w:cs="Times New Roman"/>
        </w:rPr>
        <w:t>Yaşamına Uygun Gösterge Alanları</w:t>
      </w:r>
    </w:p>
    <w:p w14:paraId="506EB30E" w14:textId="6E09056D" w:rsidR="00830C9F" w:rsidRPr="00A40B3B" w:rsidRDefault="00830C9F" w:rsidP="004A7C33">
      <w:pPr>
        <w:jc w:val="both"/>
        <w:rPr>
          <w:rFonts w:hint="eastAsia"/>
        </w:rPr>
      </w:pPr>
      <w:r w:rsidRPr="00A40B3B">
        <w:rPr>
          <w:b/>
        </w:rPr>
        <w:t xml:space="preserve">Mali dayanıklılık. </w:t>
      </w:r>
      <w:r w:rsidRPr="00A40B3B">
        <w:t xml:space="preserve">Edinburgh Üniversitesi, beş yıllık mali planında EBITDA marjının yüzde 7–9 </w:t>
      </w:r>
      <w:proofErr w:type="gramStart"/>
      <w:r w:rsidRPr="00A40B3B">
        <w:t>aralığında</w:t>
      </w:r>
      <w:proofErr w:type="gramEnd"/>
      <w:r w:rsidRPr="00A40B3B">
        <w:t xml:space="preserve"> tutulmasını ve </w:t>
      </w:r>
      <w:r w:rsidR="004A7C33" w:rsidRPr="00A40B3B">
        <w:t>nakit</w:t>
      </w:r>
      <w:r w:rsidRPr="00A40B3B">
        <w:t xml:space="preserve"> kaynakların en az bir aylık ortalama harcamayı karşılamasını yayımlanmış </w:t>
      </w:r>
      <w:r w:rsidRPr="00A40B3B">
        <w:lastRenderedPageBreak/>
        <w:t>mali ölçütler arasında belirtmektedir. Bu ölçütlerin sağlanamaması veya planlanan aralığın dışına çıkılması hâlinde stres testleri, ileriye dönük nakit akışı tahminleri, performans izleme ve düzeltici mali önlemler devreye alınmaktadır (University of Edinburgh, 2025). Bu yaklaşım, mali riskin yalnızca yılsonu açığı ya da fazlasıyla değil, üniversitenin beklenmedik bir gelir kaybı karşısında faaliyetlerini ne kadar süre sürdürebileceğiyle de izlenebileceğini gösterir. Diğer üniversiteler kendi bütçe ve yükümlülüklerine göre serbest nakit kaynaklarının kaç aylık harcamayı karşıladığını, gelir-gider sapmasını ve tek bir kaynağa bağımlılığı takip edebilir. Edinburgh’un sayısal eşikleri başka kurumlara doğrudan aktarılacak ortak standartlar değildir.</w:t>
      </w:r>
    </w:p>
    <w:p w14:paraId="41D7F880" w14:textId="77777777" w:rsidR="00830C9F" w:rsidRPr="00A40B3B" w:rsidRDefault="00830C9F" w:rsidP="004A7C33">
      <w:pPr>
        <w:jc w:val="both"/>
        <w:rPr>
          <w:rFonts w:hint="eastAsia"/>
        </w:rPr>
      </w:pPr>
      <w:r w:rsidRPr="00A40B3B">
        <w:rPr>
          <w:b/>
        </w:rPr>
        <w:t xml:space="preserve">Öğrenci deneyimi ve destek. </w:t>
      </w:r>
      <w:r w:rsidRPr="00A40B3B">
        <w:t>Edinburgh’un stratejik performans çerçevesi “İnsan”, “Araştırma”, “Öğretme ve Öğrenme” ile “Sosyal ve Yurttaşlık Sorumluluğu” başlıklarını kapsamakta; dezavantajlı bölgelerden gelen öğrenci oranı, çalışan bağlılığı ve uluslararası öğrenci pazarlarının dağılımı gibi ölçüler içermektedir. Üniversitenin en büyük uluslararası öğrenci pazarının beşinci büyük pazara oranı 2024/25 döneminde 23:1, onuncu pazara oranı 42:1 olarak bildirilmiştir. Bu oranlar, toplam öğrenci sayısı artarken tek bir ülkeye veya pazara bağımlılığın da yükselip yükselmediğini görünür kılar (University of Edinburgh, 2025). Oxford’un 2024/25 öğrenci destek raporunda danışmanlık hizmeti alan öğrencilerin yüzde 34’ünün beş iş günü içinde görüldüğü; cinsel taciz ve şiddet destek hizmetinde 201 yeni yönlendirme alındığı ve ilk randevu için ortalama bekleme süresinin 6,3 güne indiği açıklanmıştır (University of Oxford, 2026). Bunlar yayımlanmış hizmet performansı verileridir; tek başlarına başarı veya risk eşiği değildir. Devam, kredi tamamlama, ders bırakma ve kurumda kalma oranları; hizmet talebi ve bekleme süresiyle birlikte program ve öğrenci grupları bazında izlenirse, öğrenci ilerlemesindeki bozulma ya da destek kapasitesindeki baskı daha erken fark edilebilir.</w:t>
      </w:r>
    </w:p>
    <w:p w14:paraId="15652D3B" w14:textId="2ACBFD7F" w:rsidR="00830C9F" w:rsidRPr="00A40B3B" w:rsidRDefault="00830C9F" w:rsidP="004A7C33">
      <w:pPr>
        <w:jc w:val="both"/>
        <w:rPr>
          <w:rFonts w:hint="eastAsia"/>
        </w:rPr>
      </w:pPr>
      <w:r w:rsidRPr="00A40B3B">
        <w:rPr>
          <w:b/>
        </w:rPr>
        <w:t xml:space="preserve">Araştırma ve sanayi iş birlikleri. </w:t>
      </w:r>
      <w:r w:rsidRPr="00A40B3B">
        <w:t xml:space="preserve">Araştırma riskini yalnızca yayın sayısı veya toplam fon miktarıyla izlemek, gelir </w:t>
      </w:r>
      <w:proofErr w:type="gramStart"/>
      <w:r w:rsidRPr="00A40B3B">
        <w:t>portföyündeki</w:t>
      </w:r>
      <w:proofErr w:type="gramEnd"/>
      <w:r w:rsidRPr="00A40B3B">
        <w:t xml:space="preserve"> bağımlılıkları ve iş birliği kapasitesindeki zayıflamayı gizleyebilir. Edinburgh araştırma kalitesini Research Excellence Framework (REF) sonuçları ve dönemler arasındaki UK Research and Innovation (UKRI) gelir payı gibi ölçülerle; araştırma faaliyetini ise toplam gelir ve sanayiyle yürütülen araştırma ödülleriyle izlemektedir. Üniversite toplam araştırma gelirini 375 milyon sterlin, sanayi ve uygulamalı araştırma ödüllerinin değerini 112,5 milyon sterlin olarak açıklamıştır (University of Edinburgh, 2025). Oxford, 2024/25 döneminde 801,3 milyon sterlin araştırma geliri, sanayiden 142,2 milyon sterlin araştırma geliri ve yürürlüğe giren 7.604 araştırma anlaşması bildirmiştir (University of Oxford, n.d.). Bu rakamlar mevcut faaliyet ve performansı gösterir; kendi başlarına </w:t>
      </w:r>
      <w:r w:rsidR="004A7C33" w:rsidRPr="00A40B3B">
        <w:t>temel risk göstergesi (</w:t>
      </w:r>
      <w:r w:rsidRPr="00A40B3B">
        <w:t>KRI</w:t>
      </w:r>
      <w:r w:rsidR="004A7C33" w:rsidRPr="00A40B3B">
        <w:t>)</w:t>
      </w:r>
      <w:r w:rsidRPr="00A40B3B">
        <w:t xml:space="preserve"> değildir. Erken uyarı amacıyla en büyük üç fon sağlayıcının toplam araştırma gelirindeki payı, sanayi kaynaklı gelirin toplam araştırma gelirine oranı, tekliflerin imzalı sözleşmeye dönüşme oranı, sözleşme imzalanmasına kadar geçen süre ve etik inceleme ya da durum tespiti nedeniyle bekleyen anlaşmalar izlenebilir. Kurumun onayladığı yoğunlaşma sınırının aşılması, sanayi kaynaklı gelir payının hedefin altında art arda iki dönem kalması veya yüksek riskli bir ortak için durum tespitinin tamamlanmaması inceleme sinyali olabilir. Buna karşılık </w:t>
      </w:r>
      <w:proofErr w:type="gramStart"/>
      <w:r w:rsidRPr="00A40B3B">
        <w:t>portföyü</w:t>
      </w:r>
      <w:proofErr w:type="gramEnd"/>
      <w:r w:rsidRPr="00A40B3B">
        <w:t xml:space="preserve"> çeşitlendirmek, sözleşme sürecindeki gecikmeleri incelemek ve gerekli risk değerlendirmesi tamamlanana kadar yeni taahhütleri bekletmek düşünülebilir.</w:t>
      </w:r>
    </w:p>
    <w:p w14:paraId="6584E508" w14:textId="77777777" w:rsidR="00830C9F" w:rsidRPr="00A40B3B" w:rsidRDefault="00830C9F" w:rsidP="00D3680E">
      <w:pPr>
        <w:jc w:val="both"/>
        <w:rPr>
          <w:rFonts w:hint="eastAsia"/>
        </w:rPr>
      </w:pPr>
      <w:r w:rsidRPr="00A40B3B">
        <w:rPr>
          <w:b/>
        </w:rPr>
        <w:t xml:space="preserve">Bilgi güvenliği ve iş sürekliliği. </w:t>
      </w:r>
      <w:r w:rsidRPr="00A40B3B">
        <w:t xml:space="preserve">Kritik sistemlerde güvenlik yamalarının uygulanma süresi, yedeklerden geri yükleme başarısı, hizmet kesintisinin süresi, olaylara müdahale zamanı ve sistemin kurtarma süresi hedefini (RTO) karşılayıp karşılamadığı izlenebilir. Kritik bir güvenlik yamasının 30 günden uzun süre uygulanmaması veya kritik bir sistemin belirlenmiş RTO içinde yeniden çalışır hâle getirilememesi, </w:t>
      </w:r>
      <w:r w:rsidRPr="00A40B3B">
        <w:lastRenderedPageBreak/>
        <w:t>kurumun kendi politikasında tanımlayabileceği örnek bir tetikleyicidir. Böyle bir durumda etkilenen sistem gerektiğinde ağdan yalıtılır, yama uygulanır, hizmet güvenli biçimde geri yüklenir ve önemli olaylar raporlanır. Bu eşikler Cambridge veya Oxford tarafından yayımlanmış ortak standartlar değildir; kurumun kendi tehdit düzeyi ve müdahale kapasitesine göre kararlaştırılmalıdır.</w:t>
      </w:r>
    </w:p>
    <w:p w14:paraId="5E65EE1E" w14:textId="2CF9E21E" w:rsidR="00E07CA6" w:rsidRPr="00A40B3B" w:rsidRDefault="00830C9F" w:rsidP="00830C9F">
      <w:pPr>
        <w:jc w:val="both"/>
        <w:rPr>
          <w:rFonts w:ascii="Times New Roman" w:hAnsi="Times New Roman" w:cs="Times New Roman"/>
        </w:rPr>
      </w:pPr>
      <w:r w:rsidRPr="00A40B3B">
        <w:rPr>
          <w:b/>
        </w:rPr>
        <w:t xml:space="preserve">Taciz, güvenlik ve etik. </w:t>
      </w:r>
      <w:proofErr w:type="gramStart"/>
      <w:r w:rsidRPr="00A40B3B">
        <w:t>Cambridge Üniversitesi, akademik özgürlük ve açık tartışma için yüksek</w:t>
      </w:r>
      <w:r w:rsidR="00A90FCA" w:rsidRPr="00A40B3B">
        <w:t xml:space="preserve"> risk iştahı tanımlarken</w:t>
      </w:r>
      <w:r w:rsidRPr="00A40B3B">
        <w:t xml:space="preserve">; ciddi ve kalıcı zarar, yasa dışı veya etik dışı faaliyet ve mevzuata aykırılık için çok düşük risk iştahı tanımlamaktadır (University of Cambridge, n.d.). Bu yaklaşım, yenilik ve akademik özgürlük için alan açarken insan güvenliği ve dürüstlük bakımından korunacak sınırları belirginleştirir. </w:t>
      </w:r>
      <w:proofErr w:type="gramEnd"/>
      <w:r w:rsidRPr="00A40B3B">
        <w:t xml:space="preserve">Burada “sıfır tolerans”, bildirim sayısının sıfır olması değil; misillemenin önlenmesi ve ciddi zarar iddialarının zamanında değerlendirilmesi anlamına gelir. Ağır bir vakanın 24 saat içinde ilk değerlendirmeye alınmaması, kurumun benimseyebileceği bir üst düzey inceleme tetikleyicisidir; bu süre </w:t>
      </w:r>
      <w:r w:rsidR="00B35B29" w:rsidRPr="00A40B3B">
        <w:t>Cambridge’ni</w:t>
      </w:r>
      <w:r w:rsidR="00B35B29" w:rsidRPr="00A40B3B">
        <w:rPr>
          <w:rFonts w:hint="eastAsia"/>
        </w:rPr>
        <w:t>n</w:t>
      </w:r>
      <w:r w:rsidRPr="00A40B3B">
        <w:t xml:space="preserve"> yayımladığı bir eşik değil, kuruma uyarlanabilecek bir örnektir. Bildirim sayısındaki artış da tek başına ihlal sayılmamalı; güvenli bildirim kanallarına duyulan güvenin artmış olabileceği dikkate alınmalıdır</w:t>
      </w:r>
      <w:r w:rsidR="00635DB6" w:rsidRPr="00A40B3B">
        <w:rPr>
          <w:rFonts w:ascii="Times New Roman" w:hAnsi="Times New Roman" w:cs="Times New Roman"/>
        </w:rPr>
        <w:t>.</w:t>
      </w:r>
    </w:p>
    <w:p w14:paraId="076CDCAE" w14:textId="77777777" w:rsidR="00081609" w:rsidRPr="00A40B3B" w:rsidRDefault="00DE2FC3">
      <w:pPr>
        <w:pStyle w:val="Balk3"/>
        <w:rPr>
          <w:rFonts w:ascii="Times New Roman" w:hAnsi="Times New Roman" w:cs="Times New Roman"/>
        </w:rPr>
      </w:pPr>
      <w:r w:rsidRPr="00A40B3B">
        <w:rPr>
          <w:rFonts w:ascii="Times New Roman" w:hAnsi="Times New Roman" w:cs="Times New Roman"/>
        </w:rPr>
        <w:t>Temel Risk Göstergelerini Somutlaştırma</w:t>
      </w:r>
    </w:p>
    <w:p w14:paraId="765AA246" w14:textId="77777777" w:rsidR="00081609" w:rsidRPr="00A40B3B" w:rsidRDefault="00DE2FC3" w:rsidP="000D340F">
      <w:pPr>
        <w:jc w:val="both"/>
        <w:rPr>
          <w:rFonts w:ascii="Times New Roman" w:hAnsi="Times New Roman" w:cs="Times New Roman"/>
        </w:rPr>
      </w:pPr>
      <w:r w:rsidRPr="00A40B3B">
        <w:rPr>
          <w:rFonts w:ascii="Times New Roman" w:hAnsi="Times New Roman" w:cs="Times New Roman"/>
        </w:rPr>
        <w:t>Aşağıdaki ölçütler, yönetim kurulunun veya yetkili kurumun düzenli izlemesine uygun örneklerdir. Her kurum kendi başlangıç değerini, hedefini, veri kaynağını, izleme sıklığını ve sorumlu yöneticiyi belirlemelidir. Tablodaki eşikler, yayımlanmış üniversite standartları değil, kurumun kendi risk iştahına göre kararlaştırabileceği örnek tetikleyicilerdir.</w:t>
      </w:r>
    </w:p>
    <w:tbl>
      <w:tblPr>
        <w:tblW w:w="9504" w:type="dxa"/>
        <w:jc w:val="center"/>
        <w:tblBorders>
          <w:top w:val="single" w:sz="4" w:space="0" w:color="D9E1F2"/>
          <w:left w:val="single" w:sz="4" w:space="0" w:color="D9E1F2"/>
          <w:bottom w:val="single" w:sz="4" w:space="0" w:color="D9E1F2"/>
          <w:right w:val="single" w:sz="4" w:space="0" w:color="D9E1F2"/>
          <w:insideH w:val="single" w:sz="4" w:space="0" w:color="D9E1F2"/>
          <w:insideV w:val="single" w:sz="4" w:space="0" w:color="D9E1F2"/>
        </w:tblBorders>
        <w:tblLayout w:type="fixed"/>
        <w:tblLook w:val="04A0" w:firstRow="1" w:lastRow="0" w:firstColumn="1" w:lastColumn="0" w:noHBand="0" w:noVBand="1"/>
      </w:tblPr>
      <w:tblGrid>
        <w:gridCol w:w="1382"/>
        <w:gridCol w:w="3686"/>
        <w:gridCol w:w="4436"/>
      </w:tblGrid>
      <w:tr w:rsidR="00081609" w:rsidRPr="000D340F" w14:paraId="2EF32C78" w14:textId="77777777" w:rsidTr="004669FA">
        <w:trPr>
          <w:cantSplit/>
          <w:tblHeader/>
          <w:jc w:val="center"/>
        </w:trPr>
        <w:tc>
          <w:tcPr>
            <w:tcW w:w="1382" w:type="dxa"/>
            <w:shd w:val="clear" w:color="auto" w:fill="1F4E78"/>
            <w:tcMar>
              <w:top w:w="90" w:type="dxa"/>
              <w:left w:w="105" w:type="dxa"/>
              <w:bottom w:w="90" w:type="dxa"/>
              <w:right w:w="105" w:type="dxa"/>
            </w:tcMar>
            <w:vAlign w:val="center"/>
          </w:tcPr>
          <w:p w14:paraId="0E1057EF"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color w:val="FFFFFF"/>
              </w:rPr>
              <w:t>Risk alanı</w:t>
            </w:r>
          </w:p>
        </w:tc>
        <w:tc>
          <w:tcPr>
            <w:tcW w:w="3686" w:type="dxa"/>
            <w:shd w:val="clear" w:color="auto" w:fill="1F4E78"/>
            <w:tcMar>
              <w:top w:w="90" w:type="dxa"/>
              <w:left w:w="105" w:type="dxa"/>
              <w:bottom w:w="90" w:type="dxa"/>
              <w:right w:w="105" w:type="dxa"/>
            </w:tcMar>
            <w:vAlign w:val="center"/>
          </w:tcPr>
          <w:p w14:paraId="240A3315"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color w:val="FFFFFF"/>
              </w:rPr>
              <w:t>Gösterge ve ölçümü</w:t>
            </w:r>
          </w:p>
        </w:tc>
        <w:tc>
          <w:tcPr>
            <w:tcW w:w="4436" w:type="dxa"/>
            <w:shd w:val="clear" w:color="auto" w:fill="1F4E78"/>
            <w:tcMar>
              <w:top w:w="90" w:type="dxa"/>
              <w:left w:w="105" w:type="dxa"/>
              <w:bottom w:w="90" w:type="dxa"/>
              <w:right w:w="105" w:type="dxa"/>
            </w:tcMar>
            <w:vAlign w:val="center"/>
          </w:tcPr>
          <w:p w14:paraId="36567C81"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color w:val="FFFFFF"/>
              </w:rPr>
              <w:t>Örnek erken sinyal ve ilk yönetim yanıtı</w:t>
            </w:r>
          </w:p>
        </w:tc>
      </w:tr>
      <w:tr w:rsidR="00081609" w:rsidRPr="000D340F" w14:paraId="76A5CF8A" w14:textId="77777777" w:rsidTr="004669FA">
        <w:trPr>
          <w:cantSplit/>
          <w:jc w:val="center"/>
        </w:trPr>
        <w:tc>
          <w:tcPr>
            <w:tcW w:w="1382" w:type="dxa"/>
            <w:shd w:val="clear" w:color="auto" w:fill="F3F6FA"/>
            <w:tcMar>
              <w:top w:w="90" w:type="dxa"/>
              <w:left w:w="105" w:type="dxa"/>
              <w:bottom w:w="90" w:type="dxa"/>
              <w:right w:w="105" w:type="dxa"/>
            </w:tcMar>
            <w:vAlign w:val="center"/>
          </w:tcPr>
          <w:p w14:paraId="41FDB5A2"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Mali dayanıklılık</w:t>
            </w:r>
          </w:p>
        </w:tc>
        <w:tc>
          <w:tcPr>
            <w:tcW w:w="3686" w:type="dxa"/>
            <w:shd w:val="clear" w:color="auto" w:fill="F3F6FA"/>
            <w:tcMar>
              <w:top w:w="90" w:type="dxa"/>
              <w:left w:w="105" w:type="dxa"/>
              <w:bottom w:w="90" w:type="dxa"/>
              <w:right w:w="105" w:type="dxa"/>
            </w:tcMar>
            <w:vAlign w:val="center"/>
          </w:tcPr>
          <w:p w14:paraId="3D2DF0FA" w14:textId="1F86D52D"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 xml:space="preserve">Serbestçe kullanılabilir </w:t>
            </w:r>
            <w:r w:rsidR="006B2A5D" w:rsidRPr="0011501E">
              <w:rPr>
                <w:rFonts w:ascii="Times New Roman" w:hAnsi="Times New Roman" w:cs="Times New Roman"/>
              </w:rPr>
              <w:t>nakit</w:t>
            </w:r>
            <w:r w:rsidRPr="0011501E">
              <w:rPr>
                <w:rFonts w:ascii="Times New Roman" w:hAnsi="Times New Roman" w:cs="Times New Roman"/>
              </w:rPr>
              <w:t xml:space="preserve"> kaynak ÷ ortalama aylık işletme harcaması; EBITDA </w:t>
            </w:r>
            <w:proofErr w:type="gramStart"/>
            <w:r w:rsidRPr="0011501E">
              <w:rPr>
                <w:rFonts w:ascii="Times New Roman" w:hAnsi="Times New Roman" w:cs="Times New Roman"/>
              </w:rPr>
              <w:t>marjı</w:t>
            </w:r>
            <w:proofErr w:type="gramEnd"/>
            <w:r w:rsidRPr="0011501E">
              <w:rPr>
                <w:rFonts w:ascii="Times New Roman" w:hAnsi="Times New Roman" w:cs="Times New Roman"/>
              </w:rPr>
              <w:t>; bütçe gelir-gider sapması.</w:t>
            </w:r>
          </w:p>
        </w:tc>
        <w:tc>
          <w:tcPr>
            <w:tcW w:w="4436" w:type="dxa"/>
            <w:shd w:val="clear" w:color="auto" w:fill="F3F6FA"/>
            <w:tcMar>
              <w:top w:w="90" w:type="dxa"/>
              <w:left w:w="105" w:type="dxa"/>
              <w:bottom w:w="90" w:type="dxa"/>
              <w:right w:w="105" w:type="dxa"/>
            </w:tcMar>
            <w:vAlign w:val="center"/>
          </w:tcPr>
          <w:p w14:paraId="26827A98"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Yönetim kurulunca belirlenen asgari nakit karşılama düzeyine yaklaşma veya altına düşme. Edinburgh’un bir aylık harcama karşılama ölçütü örnek alınabilir; başka kuruma otomatik eşik değildir. Nakit akışı tahmini, stres testi ve düzeltici mali önlemler başlatılır.</w:t>
            </w:r>
          </w:p>
        </w:tc>
      </w:tr>
      <w:tr w:rsidR="00081609" w:rsidRPr="000D340F" w14:paraId="4E2C0230" w14:textId="77777777" w:rsidTr="004669FA">
        <w:trPr>
          <w:cantSplit/>
          <w:jc w:val="center"/>
        </w:trPr>
        <w:tc>
          <w:tcPr>
            <w:tcW w:w="1382" w:type="dxa"/>
            <w:tcMar>
              <w:top w:w="90" w:type="dxa"/>
              <w:left w:w="105" w:type="dxa"/>
              <w:bottom w:w="90" w:type="dxa"/>
              <w:right w:w="105" w:type="dxa"/>
            </w:tcMar>
            <w:vAlign w:val="center"/>
          </w:tcPr>
          <w:p w14:paraId="5217D56C"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Öğrenci ilerlemesi</w:t>
            </w:r>
          </w:p>
        </w:tc>
        <w:tc>
          <w:tcPr>
            <w:tcW w:w="3686" w:type="dxa"/>
            <w:tcMar>
              <w:top w:w="90" w:type="dxa"/>
              <w:left w:w="105" w:type="dxa"/>
              <w:bottom w:w="90" w:type="dxa"/>
              <w:right w:w="105" w:type="dxa"/>
            </w:tcMar>
            <w:vAlign w:val="center"/>
          </w:tcPr>
          <w:p w14:paraId="77636679"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Program ve öğrenci grubu bazında devam, ders/ kredi tamamlama, ders bırakma, sınıf tekrarı ve kurumda kalma oranı.</w:t>
            </w:r>
          </w:p>
        </w:tc>
        <w:tc>
          <w:tcPr>
            <w:tcW w:w="4436" w:type="dxa"/>
            <w:tcMar>
              <w:top w:w="90" w:type="dxa"/>
              <w:left w:w="105" w:type="dxa"/>
              <w:bottom w:w="90" w:type="dxa"/>
              <w:right w:w="105" w:type="dxa"/>
            </w:tcMar>
            <w:vAlign w:val="center"/>
          </w:tcPr>
          <w:p w14:paraId="3B5F32C8"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Oranın hedefin altında iki dönem art arda kalması veya belirli bir programda hızlı kötüleşme. Veriler program, yıl ve öğrenci gruplarına göre incelenir; akademik danışmanlık, ders tasarımı ve destek kapasitesi gözden geçirilir.</w:t>
            </w:r>
          </w:p>
        </w:tc>
      </w:tr>
      <w:tr w:rsidR="00081609" w:rsidRPr="000D340F" w14:paraId="53F47B6D" w14:textId="77777777" w:rsidTr="004669FA">
        <w:trPr>
          <w:cantSplit/>
          <w:jc w:val="center"/>
        </w:trPr>
        <w:tc>
          <w:tcPr>
            <w:tcW w:w="1382" w:type="dxa"/>
            <w:shd w:val="clear" w:color="auto" w:fill="F3F6FA"/>
            <w:tcMar>
              <w:top w:w="90" w:type="dxa"/>
              <w:left w:w="105" w:type="dxa"/>
              <w:bottom w:w="90" w:type="dxa"/>
              <w:right w:w="105" w:type="dxa"/>
            </w:tcMar>
            <w:vAlign w:val="center"/>
          </w:tcPr>
          <w:p w14:paraId="095CDBFC"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Öğrenci desteği ve güvenliği</w:t>
            </w:r>
          </w:p>
        </w:tc>
        <w:tc>
          <w:tcPr>
            <w:tcW w:w="3686" w:type="dxa"/>
            <w:shd w:val="clear" w:color="auto" w:fill="F3F6FA"/>
            <w:tcMar>
              <w:top w:w="90" w:type="dxa"/>
              <w:left w:w="105" w:type="dxa"/>
              <w:bottom w:w="90" w:type="dxa"/>
              <w:right w:w="105" w:type="dxa"/>
            </w:tcMar>
            <w:vAlign w:val="center"/>
          </w:tcPr>
          <w:p w14:paraId="4A6FFF47"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Danışmanlığa ilk erişim süresi; belirlenmiş hizmet süresini aşan başvuru oranı; ciddi güvenlik bildirimlerinin ilk değerlendirme süresi; sonuçlanmamış ciddi vakalar.</w:t>
            </w:r>
          </w:p>
        </w:tc>
        <w:tc>
          <w:tcPr>
            <w:tcW w:w="4436" w:type="dxa"/>
            <w:shd w:val="clear" w:color="auto" w:fill="F3F6FA"/>
            <w:tcMar>
              <w:top w:w="90" w:type="dxa"/>
              <w:left w:w="105" w:type="dxa"/>
              <w:bottom w:w="90" w:type="dxa"/>
              <w:right w:w="105" w:type="dxa"/>
            </w:tcMar>
            <w:vAlign w:val="center"/>
          </w:tcPr>
          <w:p w14:paraId="45A1317E"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Ciddi bir başvurunun kurumca belirlenen sürede ilk değerlendirmeye alınmaması veya misilleme/zarar iddiasının yanıtsız kalması. Kıdemli koruma sorumlusu bilgilendirilir ve vaka yönetimi incelenir. Bildirim sayısındaki artış tek başına ihlal sayılmaz.</w:t>
            </w:r>
          </w:p>
        </w:tc>
      </w:tr>
      <w:tr w:rsidR="00081609" w:rsidRPr="000D340F" w14:paraId="197AF0EF" w14:textId="77777777" w:rsidTr="004669FA">
        <w:trPr>
          <w:cantSplit/>
          <w:jc w:val="center"/>
        </w:trPr>
        <w:tc>
          <w:tcPr>
            <w:tcW w:w="1382" w:type="dxa"/>
            <w:tcMar>
              <w:top w:w="90" w:type="dxa"/>
              <w:left w:w="105" w:type="dxa"/>
              <w:bottom w:w="90" w:type="dxa"/>
              <w:right w:w="105" w:type="dxa"/>
            </w:tcMar>
            <w:vAlign w:val="center"/>
          </w:tcPr>
          <w:p w14:paraId="652FD777"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Araştırma ve sanayi iş birliği</w:t>
            </w:r>
          </w:p>
        </w:tc>
        <w:tc>
          <w:tcPr>
            <w:tcW w:w="3686" w:type="dxa"/>
            <w:tcMar>
              <w:top w:w="90" w:type="dxa"/>
              <w:left w:w="105" w:type="dxa"/>
              <w:bottom w:w="90" w:type="dxa"/>
              <w:right w:w="105" w:type="dxa"/>
            </w:tcMar>
            <w:vAlign w:val="center"/>
          </w:tcPr>
          <w:p w14:paraId="7769EC62"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En büyük üç fon sağlayıcının toplam araştırma gelirindeki payı; sanayi kaynaklı araştırma gelirinin toplam gelire oranı; tekliften sözleşmeye dönüşüm; imza süresi; inceleme bekleyen ortaklıklar.</w:t>
            </w:r>
          </w:p>
        </w:tc>
        <w:tc>
          <w:tcPr>
            <w:tcW w:w="4436" w:type="dxa"/>
            <w:tcMar>
              <w:top w:w="90" w:type="dxa"/>
              <w:left w:w="105" w:type="dxa"/>
              <w:bottom w:w="90" w:type="dxa"/>
              <w:right w:w="105" w:type="dxa"/>
            </w:tcMar>
            <w:vAlign w:val="center"/>
          </w:tcPr>
          <w:p w14:paraId="359E6AFB"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Fon sağlayıcı veya sektör yoğunlaşmasının onaylı sınırı aşması, gelir payının hedefin altında art arda iki dönemde kalması ya da yüksek riskli ortak için durum tespitinin tamamlanmaması. Portföy çeşitlendirilir, sözleşme akışı ve ortaklık riski gözden geçirilir.</w:t>
            </w:r>
          </w:p>
        </w:tc>
      </w:tr>
      <w:tr w:rsidR="00081609" w:rsidRPr="000D340F" w14:paraId="4FD02ABE" w14:textId="77777777" w:rsidTr="004669FA">
        <w:trPr>
          <w:cantSplit/>
          <w:jc w:val="center"/>
        </w:trPr>
        <w:tc>
          <w:tcPr>
            <w:tcW w:w="1382" w:type="dxa"/>
            <w:shd w:val="clear" w:color="auto" w:fill="F3F6FA"/>
            <w:tcMar>
              <w:top w:w="90" w:type="dxa"/>
              <w:left w:w="105" w:type="dxa"/>
              <w:bottom w:w="90" w:type="dxa"/>
              <w:right w:w="105" w:type="dxa"/>
            </w:tcMar>
            <w:vAlign w:val="center"/>
          </w:tcPr>
          <w:p w14:paraId="1C79BAD2"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lastRenderedPageBreak/>
              <w:t>Siber güvenlik ve iş sürekliliği</w:t>
            </w:r>
          </w:p>
        </w:tc>
        <w:tc>
          <w:tcPr>
            <w:tcW w:w="3686" w:type="dxa"/>
            <w:shd w:val="clear" w:color="auto" w:fill="F3F6FA"/>
            <w:tcMar>
              <w:top w:w="90" w:type="dxa"/>
              <w:left w:w="105" w:type="dxa"/>
              <w:bottom w:w="90" w:type="dxa"/>
              <w:right w:w="105" w:type="dxa"/>
            </w:tcMar>
            <w:vAlign w:val="center"/>
          </w:tcPr>
          <w:p w14:paraId="0500D466"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Kritik yamaların uygulanma süresi; yedeklerden geri yükleme başarısı; sistemin kurtarma süresi hedefi (RTO); kritik olayların çözülme süresi.</w:t>
            </w:r>
          </w:p>
        </w:tc>
        <w:tc>
          <w:tcPr>
            <w:tcW w:w="4436" w:type="dxa"/>
            <w:shd w:val="clear" w:color="auto" w:fill="F3F6FA"/>
            <w:tcMar>
              <w:top w:w="90" w:type="dxa"/>
              <w:left w:w="105" w:type="dxa"/>
              <w:bottom w:w="90" w:type="dxa"/>
              <w:right w:w="105" w:type="dxa"/>
            </w:tcMar>
            <w:vAlign w:val="center"/>
          </w:tcPr>
          <w:p w14:paraId="0BE0F2D2"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Örnek tetikleyici olarak kritik yamanın 30 günden uzun gecikmesi veya kritik sistemin RTO hedefinde geri getirilememesi izlenebilir. Etkilenen sistem yalıtılır, yama uygulanır, geri yükleme testi yapılır ve önemli olay raporlanır. Bu süreler kurumca onaylanmalıdır.</w:t>
            </w:r>
          </w:p>
        </w:tc>
      </w:tr>
      <w:tr w:rsidR="00081609" w:rsidRPr="000D340F" w14:paraId="3C638CE5" w14:textId="77777777" w:rsidTr="004669FA">
        <w:trPr>
          <w:cantSplit/>
          <w:jc w:val="center"/>
        </w:trPr>
        <w:tc>
          <w:tcPr>
            <w:tcW w:w="1382" w:type="dxa"/>
            <w:tcMar>
              <w:top w:w="90" w:type="dxa"/>
              <w:left w:w="105" w:type="dxa"/>
              <w:bottom w:w="90" w:type="dxa"/>
              <w:right w:w="105" w:type="dxa"/>
            </w:tcMar>
            <w:vAlign w:val="center"/>
          </w:tcPr>
          <w:p w14:paraId="0004ADAB"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İnsan kaynağı ve kurumsal kapasite</w:t>
            </w:r>
          </w:p>
        </w:tc>
        <w:tc>
          <w:tcPr>
            <w:tcW w:w="3686" w:type="dxa"/>
            <w:tcMar>
              <w:top w:w="90" w:type="dxa"/>
              <w:left w:w="105" w:type="dxa"/>
              <w:bottom w:w="90" w:type="dxa"/>
              <w:right w:w="105" w:type="dxa"/>
            </w:tcMar>
            <w:vAlign w:val="center"/>
          </w:tcPr>
          <w:p w14:paraId="4E872926"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Kritik görevlerde açık pozisyon süresi; akademik/idari personel devir oranı; ders ve danışmanlık yükü; kritik görevlerde yedekleme durumu.</w:t>
            </w:r>
          </w:p>
        </w:tc>
        <w:tc>
          <w:tcPr>
            <w:tcW w:w="4436" w:type="dxa"/>
            <w:tcMar>
              <w:top w:w="90" w:type="dxa"/>
              <w:left w:w="105" w:type="dxa"/>
              <w:bottom w:w="90" w:type="dxa"/>
              <w:right w:w="105" w:type="dxa"/>
            </w:tcMar>
            <w:vAlign w:val="center"/>
          </w:tcPr>
          <w:p w14:paraId="32428135"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Kritik pozisyonun onaylanmış süreyi aşan biçimde boş kalması, iş yükünün hedefi sürekli aşması veya personel kaybının belirli birimlerde yoğunlaşması. İş gücü planı, görev dağılımı ve çalışan desteği gözden geçirilir.</w:t>
            </w:r>
          </w:p>
        </w:tc>
      </w:tr>
      <w:tr w:rsidR="00081609" w:rsidRPr="000D340F" w14:paraId="6F40CF58" w14:textId="77777777" w:rsidTr="004669FA">
        <w:trPr>
          <w:cantSplit/>
          <w:jc w:val="center"/>
        </w:trPr>
        <w:tc>
          <w:tcPr>
            <w:tcW w:w="1382" w:type="dxa"/>
            <w:shd w:val="clear" w:color="auto" w:fill="F3F6FA"/>
            <w:tcMar>
              <w:top w:w="90" w:type="dxa"/>
              <w:left w:w="105" w:type="dxa"/>
              <w:bottom w:w="90" w:type="dxa"/>
              <w:right w:w="105" w:type="dxa"/>
            </w:tcMar>
            <w:vAlign w:val="center"/>
          </w:tcPr>
          <w:p w14:paraId="52210156"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b/>
              </w:rPr>
              <w:t>Kalite, etik ve mevzuata uyum</w:t>
            </w:r>
          </w:p>
        </w:tc>
        <w:tc>
          <w:tcPr>
            <w:tcW w:w="3686" w:type="dxa"/>
            <w:shd w:val="clear" w:color="auto" w:fill="F3F6FA"/>
            <w:tcMar>
              <w:top w:w="90" w:type="dxa"/>
              <w:left w:w="105" w:type="dxa"/>
              <w:bottom w:w="90" w:type="dxa"/>
              <w:right w:w="105" w:type="dxa"/>
            </w:tcMar>
            <w:vAlign w:val="center"/>
          </w:tcPr>
          <w:p w14:paraId="573D1968"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Süresi geçmiş yüksek riskli denetim/akreditasyon bulguları; geciken etik kurul kararları; tamamlanmamış düzeltici faaliyetlerin oranı.</w:t>
            </w:r>
          </w:p>
        </w:tc>
        <w:tc>
          <w:tcPr>
            <w:tcW w:w="4436" w:type="dxa"/>
            <w:shd w:val="clear" w:color="auto" w:fill="F3F6FA"/>
            <w:tcMar>
              <w:top w:w="90" w:type="dxa"/>
              <w:left w:w="105" w:type="dxa"/>
              <w:bottom w:w="90" w:type="dxa"/>
              <w:right w:w="105" w:type="dxa"/>
            </w:tcMar>
            <w:vAlign w:val="center"/>
          </w:tcPr>
          <w:p w14:paraId="5E048A77" w14:textId="77777777" w:rsidR="00081609" w:rsidRPr="0011501E" w:rsidRDefault="00DE2FC3" w:rsidP="0011501E">
            <w:pPr>
              <w:spacing w:after="0" w:line="228" w:lineRule="auto"/>
              <w:rPr>
                <w:rFonts w:ascii="Times New Roman" w:hAnsi="Times New Roman" w:cs="Times New Roman"/>
              </w:rPr>
            </w:pPr>
            <w:r w:rsidRPr="0011501E">
              <w:rPr>
                <w:rFonts w:ascii="Times New Roman" w:hAnsi="Times New Roman" w:cs="Times New Roman"/>
              </w:rPr>
              <w:t>Yüksek önem dereceli bir bulgunun son tarihten sonra açık kalması veya etik/mevzuat incelemesinin kritik faaliyeti geciktirecek ölçüde birikmesi. Sorumlu yönetici ve tamamlanma tarihi atanır; çözülemeyen konu üst yönetime taşınır.</w:t>
            </w:r>
          </w:p>
        </w:tc>
      </w:tr>
    </w:tbl>
    <w:p w14:paraId="245F5430" w14:textId="27A7D5FE" w:rsidR="00D84B41" w:rsidRDefault="0011501E" w:rsidP="00A40B3B">
      <w:pPr>
        <w:spacing w:before="240" w:after="240" w:line="276" w:lineRule="auto"/>
        <w:jc w:val="both"/>
        <w:rPr>
          <w:rFonts w:hint="eastAsia"/>
        </w:rPr>
      </w:pPr>
      <w:r>
        <w:t>Bu g</w:t>
      </w:r>
      <w:r>
        <w:rPr>
          <w:rFonts w:hint="cs"/>
        </w:rPr>
        <w:t>ö</w:t>
      </w:r>
      <w:r>
        <w:t>stergelerin, CEO ve Y</w:t>
      </w:r>
      <w:r>
        <w:rPr>
          <w:rFonts w:hint="cs"/>
        </w:rPr>
        <w:t>ö</w:t>
      </w:r>
      <w:r>
        <w:t>netim Kurulunun eri</w:t>
      </w:r>
      <w:r>
        <w:rPr>
          <w:rFonts w:hint="cs"/>
        </w:rPr>
        <w:t>ş</w:t>
      </w:r>
      <w:r>
        <w:t>imine a</w:t>
      </w:r>
      <w:r>
        <w:rPr>
          <w:rFonts w:hint="cs"/>
        </w:rPr>
        <w:t>çı</w:t>
      </w:r>
      <w:r>
        <w:t xml:space="preserve">k </w:t>
      </w:r>
      <w:r w:rsidR="00F160FF">
        <w:t xml:space="preserve">aşağıdakine benzer </w:t>
      </w:r>
      <w:r>
        <w:t xml:space="preserve">bir </w:t>
      </w:r>
      <w:proofErr w:type="spellStart"/>
      <w:r>
        <w:t>dashboardda</w:t>
      </w:r>
      <w:proofErr w:type="spellEnd"/>
      <w:r>
        <w:t xml:space="preserve"> her birinin niteli</w:t>
      </w:r>
      <w:r>
        <w:rPr>
          <w:rFonts w:hint="cs"/>
        </w:rPr>
        <w:t>ğ</w:t>
      </w:r>
      <w:r>
        <w:t>ine uygun s</w:t>
      </w:r>
      <w:r>
        <w:rPr>
          <w:rFonts w:hint="cs"/>
        </w:rPr>
        <w:t>ı</w:t>
      </w:r>
      <w:bookmarkStart w:id="0" w:name="_GoBack"/>
      <w:bookmarkEnd w:id="0"/>
      <w:r>
        <w:t>kl</w:t>
      </w:r>
      <w:r>
        <w:rPr>
          <w:rFonts w:hint="cs"/>
        </w:rPr>
        <w:t>ı</w:t>
      </w:r>
      <w:r>
        <w:t>kta izlenmesi, risk sinyallerinin zaman</w:t>
      </w:r>
      <w:r>
        <w:rPr>
          <w:rFonts w:hint="cs"/>
        </w:rPr>
        <w:t>ı</w:t>
      </w:r>
      <w:r>
        <w:t>nda fark edilmesine ve gerekli m</w:t>
      </w:r>
      <w:r>
        <w:rPr>
          <w:rFonts w:hint="cs"/>
        </w:rPr>
        <w:t>ü</w:t>
      </w:r>
      <w:r>
        <w:t>dahalelerin gecikmeden yap</w:t>
      </w:r>
      <w:r>
        <w:rPr>
          <w:rFonts w:hint="cs"/>
        </w:rPr>
        <w:t>ı</w:t>
      </w:r>
      <w:r>
        <w:t>lmas</w:t>
      </w:r>
      <w:r>
        <w:rPr>
          <w:rFonts w:hint="cs"/>
        </w:rPr>
        <w:t>ı</w:t>
      </w:r>
      <w:r>
        <w:t>na yard</w:t>
      </w:r>
      <w:r>
        <w:rPr>
          <w:rFonts w:hint="cs"/>
        </w:rPr>
        <w:t>ı</w:t>
      </w:r>
      <w:r>
        <w:t>mc</w:t>
      </w:r>
      <w:r>
        <w:rPr>
          <w:rFonts w:hint="cs"/>
        </w:rPr>
        <w:t>ı</w:t>
      </w:r>
      <w:r>
        <w:t xml:space="preserve"> olacakt</w:t>
      </w:r>
      <w:r>
        <w:rPr>
          <w:rFonts w:hint="cs"/>
        </w:rPr>
        <w:t>ı</w:t>
      </w:r>
      <w:r>
        <w:t>r.</w:t>
      </w:r>
    </w:p>
    <w:p w14:paraId="782D7A98" w14:textId="001C4D07" w:rsidR="00D84B41" w:rsidRDefault="00CB4BA1" w:rsidP="0011501E">
      <w:pPr>
        <w:ind w:left="-142"/>
        <w:jc w:val="center"/>
        <w:rPr>
          <w:rFonts w:hint="eastAsia"/>
        </w:rPr>
      </w:pPr>
      <w:r w:rsidRPr="00CB4BA1">
        <w:rPr>
          <w:noProof/>
          <w:lang w:val="en-US"/>
        </w:rPr>
        <w:drawing>
          <wp:inline distT="0" distB="0" distL="0" distR="0" wp14:editId="4891E3D0">
            <wp:extent cx="5984144" cy="3343770"/>
            <wp:effectExtent l="0" t="0" r="0" b="9525"/>
            <wp:docPr id="3" name="Resim 3" descr="C:\Users\Hasan\Downloads\Universite_Risk_Gozetim_Panosu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san\Downloads\Universite_Risk_Gozetim_Panosu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3880" cy="3365973"/>
                    </a:xfrm>
                    <a:prstGeom prst="rect">
                      <a:avLst/>
                    </a:prstGeom>
                    <a:noFill/>
                    <a:ln>
                      <a:noFill/>
                    </a:ln>
                  </pic:spPr>
                </pic:pic>
              </a:graphicData>
            </a:graphic>
          </wp:inline>
        </w:drawing>
      </w:r>
    </w:p>
    <w:p w14:paraId="03C50C2A" w14:textId="77777777" w:rsidR="00E07CA6" w:rsidRPr="000D340F" w:rsidRDefault="00635DB6" w:rsidP="00AB6BF4">
      <w:pPr>
        <w:pStyle w:val="Balk2"/>
        <w:numPr>
          <w:ilvl w:val="0"/>
          <w:numId w:val="10"/>
        </w:numPr>
        <w:rPr>
          <w:rFonts w:cs="Times New Roman"/>
        </w:rPr>
      </w:pPr>
      <w:r w:rsidRPr="000D340F">
        <w:rPr>
          <w:rFonts w:cs="Times New Roman"/>
        </w:rPr>
        <w:t xml:space="preserve">Risk </w:t>
      </w:r>
      <w:r w:rsidR="00292138" w:rsidRPr="000D340F">
        <w:rPr>
          <w:rFonts w:cs="Times New Roman"/>
        </w:rPr>
        <w:t>İştahı, Eşikler v</w:t>
      </w:r>
      <w:r w:rsidR="00E8035F" w:rsidRPr="000D340F">
        <w:rPr>
          <w:rFonts w:cs="Times New Roman"/>
        </w:rPr>
        <w:t>e Kurumsal Yanıt</w:t>
      </w:r>
    </w:p>
    <w:p w14:paraId="39704CF3" w14:textId="77777777" w:rsidR="00E07CA6" w:rsidRPr="000D340F" w:rsidRDefault="00635DB6" w:rsidP="00292138">
      <w:pPr>
        <w:jc w:val="both"/>
        <w:rPr>
          <w:rFonts w:ascii="Times New Roman" w:hAnsi="Times New Roman" w:cs="Times New Roman"/>
        </w:rPr>
      </w:pPr>
      <w:r w:rsidRPr="000D340F">
        <w:rPr>
          <w:rFonts w:ascii="Times New Roman" w:hAnsi="Times New Roman" w:cs="Times New Roman"/>
        </w:rPr>
        <w:t xml:space="preserve">Risk iştahı, üniversitenin hedeflerine ulaşmak için hangi alanlarda ne ölçüde belirsizlik almayı kabul ettiğini; tolerans ise bu tercihin ölçülebilir sınırlarını ifade eder. Temel risk göstergesi mevcut durumu ve </w:t>
      </w:r>
      <w:r w:rsidRPr="000D340F">
        <w:rPr>
          <w:rFonts w:ascii="Times New Roman" w:hAnsi="Times New Roman" w:cs="Times New Roman"/>
        </w:rPr>
        <w:lastRenderedPageBreak/>
        <w:t xml:space="preserve">eğilimi izler; eşik, durumun kabul edilebilir sınırdan uzaklaştığında kimin ne zaman harekete geçeceğini belirler. Uygulamada yeşil alan hedefle uyumu, sarı alan yaklaşan sapmayı ve inceleme gereğini, kırmızı alan ise kabul edilen toleransın aşılması ve üst düzey müdahaleyi gösterebilir. Eşikler kurumun başlangıç verileri ve </w:t>
      </w:r>
      <w:proofErr w:type="gramStart"/>
      <w:r w:rsidRPr="000D340F">
        <w:rPr>
          <w:rFonts w:ascii="Times New Roman" w:hAnsi="Times New Roman" w:cs="Times New Roman"/>
        </w:rPr>
        <w:t>misyonu</w:t>
      </w:r>
      <w:proofErr w:type="gramEnd"/>
      <w:r w:rsidRPr="000D340F">
        <w:rPr>
          <w:rFonts w:ascii="Times New Roman" w:hAnsi="Times New Roman" w:cs="Times New Roman"/>
        </w:rPr>
        <w:t xml:space="preserve"> esas alınarak önceden onaylanmalı; yalnızca sorun ortaya çıktıktan sonra belirlenmemelidir.</w:t>
      </w:r>
    </w:p>
    <w:p w14:paraId="2444C7C4" w14:textId="77777777" w:rsidR="00E07CA6" w:rsidRPr="000D340F" w:rsidRDefault="00635DB6" w:rsidP="001A5980">
      <w:pPr>
        <w:keepNext/>
        <w:jc w:val="both"/>
        <w:rPr>
          <w:rFonts w:ascii="Times New Roman" w:hAnsi="Times New Roman" w:cs="Times New Roman"/>
        </w:rPr>
      </w:pPr>
      <w:r w:rsidRPr="000D340F">
        <w:rPr>
          <w:rFonts w:ascii="Times New Roman" w:hAnsi="Times New Roman" w:cs="Times New Roman"/>
        </w:rPr>
        <w:t>Bu ilişki mali göstergelerin ötesinde de açıkça kurulabilir. Örneğin üniversite, akademik özgürlük ve yeni öğretim yöntemlerinin denenmesi için görece yüksek risk iştahı belirleyebilir; ancak öğrenci güvenliği, araştırma etiği, kişisel verilerin korunması ve mevzuata uyum alanlarında düşük risk toleransı benimseyebilir. Risk iştahı her alanda aynı olmak zorunda değildir; önemli olan kabul edilen sınır ile aşım hâlinde uygulanacak yanıtın önceden belirlenmesidir.</w:t>
      </w:r>
    </w:p>
    <w:p w14:paraId="7DB07A99" w14:textId="77777777" w:rsidR="00081609" w:rsidRPr="000D340F" w:rsidRDefault="00DE2FC3">
      <w:pPr>
        <w:rPr>
          <w:rFonts w:ascii="Times New Roman" w:hAnsi="Times New Roman" w:cs="Times New Roman"/>
        </w:rPr>
      </w:pPr>
      <w:r w:rsidRPr="000D340F">
        <w:rPr>
          <w:rFonts w:ascii="Times New Roman" w:hAnsi="Times New Roman" w:cs="Times New Roman"/>
          <w:b/>
        </w:rPr>
        <w:t>Örnek uygulamalar:</w:t>
      </w:r>
    </w:p>
    <w:p w14:paraId="765C3BF6" w14:textId="77777777" w:rsidR="00800986" w:rsidRPr="00CA586D" w:rsidRDefault="00800986" w:rsidP="00800986">
      <w:pPr>
        <w:pStyle w:val="ListeMaddemi"/>
        <w:numPr>
          <w:ilvl w:val="0"/>
          <w:numId w:val="11"/>
        </w:numPr>
        <w:jc w:val="both"/>
        <w:rPr>
          <w:rFonts w:ascii="Times New Roman" w:hAnsi="Times New Roman" w:cs="Times New Roman"/>
        </w:rPr>
      </w:pPr>
      <w:r w:rsidRPr="00800986">
        <w:rPr>
          <w:rFonts w:ascii="Times New Roman" w:hAnsi="Times New Roman" w:cs="Times New Roman"/>
          <w:i/>
        </w:rPr>
        <w:t>Öğrenci pazarı ve mali bağımlılık</w:t>
      </w:r>
      <w:r w:rsidRPr="00CA586D">
        <w:rPr>
          <w:rFonts w:ascii="Times New Roman" w:hAnsi="Times New Roman" w:cs="Times New Roman"/>
        </w:rPr>
        <w:t>: Uluslararası öğrenci gelirinde tek bir kaynak pazarın payı yönetimce onaylanan tavanı aşarsa ya da en büyük pazarın beşinci/onuncu pazarlara oranı sürekli kötüleşirse, gelir tahmini ve öğrenci alım planı yeniden değerlendirilir. Bu oranlar otomatik başarısızlık ölçüsü değil, yoğunlaşma riskini inceleme sinyalidir.</w:t>
      </w:r>
    </w:p>
    <w:p w14:paraId="4B753A49" w14:textId="77777777" w:rsidR="00800986" w:rsidRPr="00CA586D" w:rsidRDefault="00800986" w:rsidP="00800986">
      <w:pPr>
        <w:pStyle w:val="ListeMaddemi"/>
        <w:numPr>
          <w:ilvl w:val="0"/>
          <w:numId w:val="11"/>
        </w:numPr>
        <w:jc w:val="both"/>
        <w:rPr>
          <w:rFonts w:ascii="Times New Roman" w:hAnsi="Times New Roman" w:cs="Times New Roman"/>
        </w:rPr>
      </w:pPr>
      <w:r w:rsidRPr="00800986">
        <w:rPr>
          <w:rFonts w:ascii="Times New Roman" w:hAnsi="Times New Roman" w:cs="Times New Roman"/>
          <w:i/>
        </w:rPr>
        <w:t>Kalite ve mevzuata uyum</w:t>
      </w:r>
      <w:r w:rsidRPr="00CA586D">
        <w:rPr>
          <w:rFonts w:ascii="Times New Roman" w:hAnsi="Times New Roman" w:cs="Times New Roman"/>
        </w:rPr>
        <w:t>: Akreditasyon veya denetimde yüksek önem dereceli bir bulgunun son tarihi geçtiği hâlde kapanmaması düşük toleransın ihlali olarak ele alınabilir. Sorumlu yönetici, kaynak ve bitiş tarihi atanır; gecikme sürerse konu üst yönetime veya yetkili kuruma bildirilir.</w:t>
      </w:r>
    </w:p>
    <w:p w14:paraId="6B49EE57" w14:textId="77777777" w:rsidR="00081609" w:rsidRPr="00CA586D" w:rsidRDefault="00DE2FC3" w:rsidP="0099328E">
      <w:pPr>
        <w:pStyle w:val="ListeMaddemi"/>
        <w:numPr>
          <w:ilvl w:val="0"/>
          <w:numId w:val="11"/>
        </w:numPr>
        <w:jc w:val="both"/>
        <w:rPr>
          <w:rFonts w:ascii="Times New Roman" w:hAnsi="Times New Roman" w:cs="Times New Roman"/>
        </w:rPr>
      </w:pPr>
      <w:r w:rsidRPr="00800986">
        <w:rPr>
          <w:rFonts w:ascii="Times New Roman" w:hAnsi="Times New Roman" w:cs="Times New Roman"/>
          <w:i/>
        </w:rPr>
        <w:t>Akademik özgürlük ve yenilik</w:t>
      </w:r>
      <w:r w:rsidRPr="00CA586D">
        <w:rPr>
          <w:rFonts w:ascii="Times New Roman" w:hAnsi="Times New Roman" w:cs="Times New Roman"/>
        </w:rPr>
        <w:t>: Yeni ders modeli veya araştırma yaklaşımında denemeye alan tanınabilir. Eşik, yöntemin başarısız olması değil; etik onayın eksikliği, öğrenci güvenliğinin tehlikeye girmesi veya öğrenme çıktılarının belirgin biçimde gerilemesidir. Bu durumda pilot daraltılır, desteklenir veya durdurulur; akademik görüş ayrılığı tek başına risk ihlali sayılmaz.</w:t>
      </w:r>
    </w:p>
    <w:p w14:paraId="0E49680F" w14:textId="77777777" w:rsidR="00081609" w:rsidRPr="00CA586D" w:rsidRDefault="00DE2FC3" w:rsidP="0099328E">
      <w:pPr>
        <w:pStyle w:val="ListeMaddemi"/>
        <w:numPr>
          <w:ilvl w:val="0"/>
          <w:numId w:val="11"/>
        </w:numPr>
        <w:jc w:val="both"/>
        <w:rPr>
          <w:rFonts w:ascii="Times New Roman" w:hAnsi="Times New Roman" w:cs="Times New Roman"/>
        </w:rPr>
      </w:pPr>
      <w:r w:rsidRPr="00800986">
        <w:rPr>
          <w:rFonts w:ascii="Times New Roman" w:hAnsi="Times New Roman" w:cs="Times New Roman"/>
          <w:i/>
        </w:rPr>
        <w:t>Araştırma ortaklıkları</w:t>
      </w:r>
      <w:r w:rsidRPr="00CA586D">
        <w:rPr>
          <w:rFonts w:ascii="Times New Roman" w:hAnsi="Times New Roman" w:cs="Times New Roman"/>
        </w:rPr>
        <w:t>: Yeni ortaklık ve disiplinler arası projeler için orta düzeyde risk alınabilir. Yaptırım, hassas teknoloji, çıkar çatışması veya yabancı müdahale kaygısı nedeniyle yüksek riskli olarak işaretlenen ortak için durum tespiti güncel değilse, yeni taahhütler inceleme tamamlanıncaya kadar bekletilir; ortaklık otomatik olarak reddedilmez.</w:t>
      </w:r>
    </w:p>
    <w:p w14:paraId="3129C305" w14:textId="77777777" w:rsidR="00081609" w:rsidRPr="00CA586D" w:rsidRDefault="00DE2FC3" w:rsidP="0099328E">
      <w:pPr>
        <w:pStyle w:val="ListeMaddemi"/>
        <w:numPr>
          <w:ilvl w:val="0"/>
          <w:numId w:val="11"/>
        </w:numPr>
        <w:jc w:val="both"/>
        <w:rPr>
          <w:rFonts w:ascii="Times New Roman" w:hAnsi="Times New Roman" w:cs="Times New Roman"/>
        </w:rPr>
      </w:pPr>
      <w:r w:rsidRPr="00CA586D">
        <w:rPr>
          <w:rFonts w:ascii="Times New Roman" w:hAnsi="Times New Roman" w:cs="Times New Roman"/>
        </w:rPr>
        <w:t>Öğrenci desteği ve güvenliği: Danışmanlık bekleme süresinin hizmet hedefini art arda dönemlerde aşması sarı uyarı; ciddi zarar iddiasının belirlenmiş ilk değerlendirme süresinde ele alınmaması kırmızı uyarı olabilir. Kapasite artırılır ve ciddi vakalar kıdemli koruma sorumlusuna taşınır. Taciz bildirimi sayısının sıfır olması hedeflenmez; güvenli bildirim ve etkili yanıt esas alınır.</w:t>
      </w:r>
    </w:p>
    <w:p w14:paraId="2A2B59CE" w14:textId="77777777" w:rsidR="00081609" w:rsidRPr="00CA586D" w:rsidRDefault="00DE2FC3" w:rsidP="0099328E">
      <w:pPr>
        <w:pStyle w:val="ListeMaddemi"/>
        <w:numPr>
          <w:ilvl w:val="0"/>
          <w:numId w:val="11"/>
        </w:numPr>
        <w:jc w:val="both"/>
        <w:rPr>
          <w:rFonts w:ascii="Times New Roman" w:hAnsi="Times New Roman" w:cs="Times New Roman"/>
        </w:rPr>
      </w:pPr>
      <w:r w:rsidRPr="00CA586D">
        <w:rPr>
          <w:rFonts w:ascii="Times New Roman" w:hAnsi="Times New Roman" w:cs="Times New Roman"/>
        </w:rPr>
        <w:t>Siber güvenlik: Kritik sistem yamasının kurumun belirlediği süreden, örneğin 30 günden fazla gecikmesi veya geri yükleme testinin RTO hedefini karşılamaması düşük risk iştahı sınırının aşıldığını gösterebilir. Sistem yalıtılır, açıklık giderilir, hizmet güvenli biçimde geri yüklenir ve olay değerlendirilir.</w:t>
      </w:r>
    </w:p>
    <w:p w14:paraId="5C20F625" w14:textId="77777777" w:rsidR="00081609" w:rsidRPr="000D340F" w:rsidRDefault="00DE2FC3">
      <w:pPr>
        <w:rPr>
          <w:rFonts w:ascii="Times New Roman" w:hAnsi="Times New Roman" w:cs="Times New Roman"/>
        </w:rPr>
      </w:pPr>
      <w:r w:rsidRPr="000D340F">
        <w:rPr>
          <w:rFonts w:ascii="Times New Roman" w:hAnsi="Times New Roman" w:cs="Times New Roman"/>
        </w:rPr>
        <w:t>Bu örneklerdeki sayısal veya zamana bağlı eşikler, Cambridge, Oxford ya da Edinburgh tarafından yayımlanmış ortak standartlar olarak sunulmamaktadır. Kurum, kendi veri geçmişini ve hizmet kapasitesini dikkate alarak eşikleri onaylamalı; sarı uyarı ve kırmızı müdahale düzeylerini, sorumluları ve raporlama sürelerini yazılı hâle getirmelidir.</w:t>
      </w:r>
    </w:p>
    <w:p w14:paraId="778FE020" w14:textId="77777777" w:rsidR="00E07CA6" w:rsidRPr="000D340F" w:rsidRDefault="00635DB6" w:rsidP="00AB6BF4">
      <w:pPr>
        <w:pStyle w:val="Balk2"/>
        <w:numPr>
          <w:ilvl w:val="0"/>
          <w:numId w:val="10"/>
        </w:numPr>
        <w:rPr>
          <w:rFonts w:cs="Times New Roman"/>
        </w:rPr>
      </w:pPr>
      <w:r w:rsidRPr="000D340F">
        <w:rPr>
          <w:rFonts w:cs="Times New Roman"/>
        </w:rPr>
        <w:lastRenderedPageBreak/>
        <w:t>Veri</w:t>
      </w:r>
      <w:r w:rsidR="00292138" w:rsidRPr="000D340F">
        <w:rPr>
          <w:rFonts w:cs="Times New Roman"/>
        </w:rPr>
        <w:t>, Yapay Zekâ v</w:t>
      </w:r>
      <w:r w:rsidR="00E8035F" w:rsidRPr="000D340F">
        <w:rPr>
          <w:rFonts w:cs="Times New Roman"/>
        </w:rPr>
        <w:t>e Hesap Verebilirlik</w:t>
      </w:r>
    </w:p>
    <w:p w14:paraId="65962109" w14:textId="77777777" w:rsidR="00E07CA6" w:rsidRPr="000D340F" w:rsidRDefault="00635DB6" w:rsidP="001A5980">
      <w:pPr>
        <w:jc w:val="both"/>
        <w:rPr>
          <w:rFonts w:ascii="Times New Roman" w:hAnsi="Times New Roman" w:cs="Times New Roman"/>
        </w:rPr>
      </w:pPr>
      <w:r w:rsidRPr="000D340F">
        <w:rPr>
          <w:rFonts w:ascii="Times New Roman" w:hAnsi="Times New Roman" w:cs="Times New Roman"/>
        </w:rPr>
        <w:t>Veri analitiği ve yapay zekâ, farklı birimlerden gelen bilgileri bir araya getirerek eğilimleri ve olağandışı değişimleri daha erken fark etmeye yardımcı olabilir. Örneğin öğrenci devamı, ders kayıtları ve danışmanlık başvurularındaki birlikte değişim destek ihtiyacını gösterebilir; siber olay kayıtları ise belirli sistemlerdeki tekrarlayan zafiyetleri öne çıkarabilir. Senaryo analizi, mali kaynaklardaki veya öğrenci talebindeki olası değişimlerin kurumsal hedeflere etkisini sınamaya da yardımcı olur.</w:t>
      </w:r>
      <w:r w:rsidR="001A5980" w:rsidRPr="000D340F">
        <w:rPr>
          <w:rFonts w:ascii="Times New Roman" w:hAnsi="Times New Roman" w:cs="Times New Roman"/>
        </w:rPr>
        <w:t xml:space="preserve"> </w:t>
      </w:r>
      <w:r w:rsidRPr="000D340F">
        <w:rPr>
          <w:rFonts w:ascii="Times New Roman" w:hAnsi="Times New Roman" w:cs="Times New Roman"/>
        </w:rPr>
        <w:t xml:space="preserve">Bununla birlikte algoritmik uyarılar kararın kendisi değildir. Verinin eksikliği, geçmiş önyargıları veya farklı öğrenci gruplarını hatalı temsil etmesi yanlış sonuçlar üretebilir. Bu nedenle göstergeler düzenli olarak gözden geçirilmeli; kişisel veriler korunmalı; taciz, başarı veya risk düzeyine ilişkin bireysel otomatik sınıflandırmalardan kaçınılmalıdır. Son değerlendirme, </w:t>
      </w:r>
      <w:r w:rsidR="001A5980" w:rsidRPr="000D340F">
        <w:rPr>
          <w:rFonts w:ascii="Times New Roman" w:hAnsi="Times New Roman" w:cs="Times New Roman"/>
        </w:rPr>
        <w:t xml:space="preserve">eksiksiz ve doğru veriye dayalı, </w:t>
      </w:r>
      <w:r w:rsidRPr="000D340F">
        <w:rPr>
          <w:rFonts w:ascii="Times New Roman" w:hAnsi="Times New Roman" w:cs="Times New Roman"/>
        </w:rPr>
        <w:t>nedenleri bağlam içinde inceleyen ve alınan kararı açıklayabilen yetkili kişilerce yapılmalıdır.</w:t>
      </w:r>
    </w:p>
    <w:p w14:paraId="4B7E4863" w14:textId="77777777" w:rsidR="00E07CA6" w:rsidRPr="000D340F" w:rsidRDefault="00635DB6" w:rsidP="00AB6BF4">
      <w:pPr>
        <w:pStyle w:val="Balk2"/>
        <w:numPr>
          <w:ilvl w:val="0"/>
          <w:numId w:val="10"/>
        </w:numPr>
        <w:rPr>
          <w:rFonts w:cs="Times New Roman"/>
        </w:rPr>
      </w:pPr>
      <w:r w:rsidRPr="000D340F">
        <w:rPr>
          <w:rFonts w:cs="Times New Roman"/>
        </w:rPr>
        <w:t>Sonuç</w:t>
      </w:r>
    </w:p>
    <w:p w14:paraId="46ABC9F1" w14:textId="1DE01961" w:rsidR="00E07CA6" w:rsidRPr="000D340F" w:rsidRDefault="00635DB6" w:rsidP="005D40A6">
      <w:pPr>
        <w:jc w:val="both"/>
        <w:rPr>
          <w:rFonts w:ascii="Times New Roman" w:hAnsi="Times New Roman" w:cs="Times New Roman"/>
        </w:rPr>
      </w:pPr>
      <w:r w:rsidRPr="000D340F">
        <w:rPr>
          <w:rFonts w:ascii="Times New Roman" w:hAnsi="Times New Roman" w:cs="Times New Roman"/>
        </w:rPr>
        <w:t xml:space="preserve">Etkili bir risk göstergesi sistemi az sayıda, anlaşılır ve karara bağlanabilir ölçütten oluşur. Her gösterge için tanım, veri kaynağı, izleme sıklığı, sorumlu birim, kabul edilebilir aralık ve eşik aşıldığında izlenecek süreç açık olmalıdır. Eşikler kurumun </w:t>
      </w:r>
      <w:proofErr w:type="gramStart"/>
      <w:r w:rsidRPr="000D340F">
        <w:rPr>
          <w:rFonts w:ascii="Times New Roman" w:hAnsi="Times New Roman" w:cs="Times New Roman"/>
        </w:rPr>
        <w:t>misyonu</w:t>
      </w:r>
      <w:proofErr w:type="gramEnd"/>
      <w:r w:rsidRPr="000D340F">
        <w:rPr>
          <w:rFonts w:ascii="Times New Roman" w:hAnsi="Times New Roman" w:cs="Times New Roman"/>
        </w:rPr>
        <w:t xml:space="preserve">, ölçeği ve risk profili dikkate alınarak belirlenmeli; düzenli olarak gözden geçirilmelidir. </w:t>
      </w:r>
      <w:r w:rsidR="005731F5" w:rsidRPr="005731F5">
        <w:rPr>
          <w:rFonts w:ascii="Times New Roman" w:hAnsi="Times New Roman" w:cs="Times New Roman"/>
        </w:rPr>
        <w:t xml:space="preserve">Deneyimli </w:t>
      </w:r>
      <w:r w:rsidR="005731F5" w:rsidRPr="005731F5">
        <w:rPr>
          <w:rFonts w:ascii="Times New Roman" w:hAnsi="Times New Roman" w:cs="Times New Roman" w:hint="cs"/>
        </w:rPr>
        <w:t>ü</w:t>
      </w:r>
      <w:r w:rsidR="005731F5" w:rsidRPr="005731F5">
        <w:rPr>
          <w:rFonts w:ascii="Times New Roman" w:hAnsi="Times New Roman" w:cs="Times New Roman"/>
        </w:rPr>
        <w:t>niversitelerin uygulamalar</w:t>
      </w:r>
      <w:r w:rsidR="005731F5" w:rsidRPr="005731F5">
        <w:rPr>
          <w:rFonts w:ascii="Times New Roman" w:hAnsi="Times New Roman" w:cs="Times New Roman" w:hint="cs"/>
        </w:rPr>
        <w:t>ı</w:t>
      </w:r>
      <w:r w:rsidR="005731F5" w:rsidRPr="005731F5">
        <w:rPr>
          <w:rFonts w:ascii="Times New Roman" w:hAnsi="Times New Roman" w:cs="Times New Roman"/>
        </w:rPr>
        <w:t>, risk y</w:t>
      </w:r>
      <w:r w:rsidR="005731F5" w:rsidRPr="005731F5">
        <w:rPr>
          <w:rFonts w:ascii="Times New Roman" w:hAnsi="Times New Roman" w:cs="Times New Roman" w:hint="cs"/>
        </w:rPr>
        <w:t>ö</w:t>
      </w:r>
      <w:r w:rsidR="005731F5" w:rsidRPr="005731F5">
        <w:rPr>
          <w:rFonts w:ascii="Times New Roman" w:hAnsi="Times New Roman" w:cs="Times New Roman"/>
        </w:rPr>
        <w:t xml:space="preserve">netiminin </w:t>
      </w:r>
      <w:r w:rsidR="005731F5" w:rsidRPr="005731F5">
        <w:rPr>
          <w:rFonts w:ascii="Times New Roman" w:hAnsi="Times New Roman" w:cs="Times New Roman" w:hint="cs"/>
        </w:rPr>
        <w:t>ü</w:t>
      </w:r>
      <w:r w:rsidR="005731F5" w:rsidRPr="005731F5">
        <w:rPr>
          <w:rFonts w:ascii="Times New Roman" w:hAnsi="Times New Roman" w:cs="Times New Roman"/>
        </w:rPr>
        <w:t>niversiteleri etiketleyen veya cezaland</w:t>
      </w:r>
      <w:r w:rsidR="005731F5" w:rsidRPr="005731F5">
        <w:rPr>
          <w:rFonts w:ascii="Times New Roman" w:hAnsi="Times New Roman" w:cs="Times New Roman" w:hint="cs"/>
        </w:rPr>
        <w:t>ı</w:t>
      </w:r>
      <w:r w:rsidR="005731F5" w:rsidRPr="005731F5">
        <w:rPr>
          <w:rFonts w:ascii="Times New Roman" w:hAnsi="Times New Roman" w:cs="Times New Roman"/>
        </w:rPr>
        <w:t>ran bir denetim arac</w:t>
      </w:r>
      <w:r w:rsidR="005731F5" w:rsidRPr="005731F5">
        <w:rPr>
          <w:rFonts w:ascii="Times New Roman" w:hAnsi="Times New Roman" w:cs="Times New Roman" w:hint="cs"/>
        </w:rPr>
        <w:t>ı</w:t>
      </w:r>
      <w:r w:rsidR="005731F5" w:rsidRPr="005731F5">
        <w:rPr>
          <w:rFonts w:ascii="Times New Roman" w:hAnsi="Times New Roman" w:cs="Times New Roman"/>
        </w:rPr>
        <w:t>na d</w:t>
      </w:r>
      <w:r w:rsidR="005731F5" w:rsidRPr="005731F5">
        <w:rPr>
          <w:rFonts w:ascii="Times New Roman" w:hAnsi="Times New Roman" w:cs="Times New Roman" w:hint="cs"/>
        </w:rPr>
        <w:t>ö</w:t>
      </w:r>
      <w:r w:rsidR="005731F5" w:rsidRPr="005731F5">
        <w:rPr>
          <w:rFonts w:ascii="Times New Roman" w:hAnsi="Times New Roman" w:cs="Times New Roman"/>
        </w:rPr>
        <w:t>n</w:t>
      </w:r>
      <w:r w:rsidR="005731F5" w:rsidRPr="005731F5">
        <w:rPr>
          <w:rFonts w:ascii="Times New Roman" w:hAnsi="Times New Roman" w:cs="Times New Roman" w:hint="cs"/>
        </w:rPr>
        <w:t>üş</w:t>
      </w:r>
      <w:r w:rsidR="005731F5" w:rsidRPr="005731F5">
        <w:rPr>
          <w:rFonts w:ascii="Times New Roman" w:hAnsi="Times New Roman" w:cs="Times New Roman"/>
        </w:rPr>
        <w:t>meden, riskleri erken fark etmeyi, zaman</w:t>
      </w:r>
      <w:r w:rsidR="005731F5" w:rsidRPr="005731F5">
        <w:rPr>
          <w:rFonts w:ascii="Times New Roman" w:hAnsi="Times New Roman" w:cs="Times New Roman" w:hint="cs"/>
        </w:rPr>
        <w:t>ı</w:t>
      </w:r>
      <w:r w:rsidR="005731F5" w:rsidRPr="005731F5">
        <w:rPr>
          <w:rFonts w:ascii="Times New Roman" w:hAnsi="Times New Roman" w:cs="Times New Roman"/>
        </w:rPr>
        <w:t xml:space="preserve">nda </w:t>
      </w:r>
      <w:r w:rsidR="005731F5" w:rsidRPr="005731F5">
        <w:rPr>
          <w:rFonts w:ascii="Times New Roman" w:hAnsi="Times New Roman" w:cs="Times New Roman" w:hint="cs"/>
        </w:rPr>
        <w:t>ö</w:t>
      </w:r>
      <w:r w:rsidR="005731F5" w:rsidRPr="005731F5">
        <w:rPr>
          <w:rFonts w:ascii="Times New Roman" w:hAnsi="Times New Roman" w:cs="Times New Roman"/>
        </w:rPr>
        <w:t>nlem almay</w:t>
      </w:r>
      <w:r w:rsidR="005731F5" w:rsidRPr="005731F5">
        <w:rPr>
          <w:rFonts w:ascii="Times New Roman" w:hAnsi="Times New Roman" w:cs="Times New Roman" w:hint="cs"/>
        </w:rPr>
        <w:t>ı</w:t>
      </w:r>
      <w:r w:rsidR="005731F5" w:rsidRPr="005731F5">
        <w:rPr>
          <w:rFonts w:ascii="Times New Roman" w:hAnsi="Times New Roman" w:cs="Times New Roman"/>
        </w:rPr>
        <w:t>, kaynaklar</w:t>
      </w:r>
      <w:r w:rsidR="005731F5" w:rsidRPr="005731F5">
        <w:rPr>
          <w:rFonts w:ascii="Times New Roman" w:hAnsi="Times New Roman" w:cs="Times New Roman" w:hint="cs"/>
        </w:rPr>
        <w:t>ı</w:t>
      </w:r>
      <w:r w:rsidR="005731F5" w:rsidRPr="005731F5">
        <w:rPr>
          <w:rFonts w:ascii="Times New Roman" w:hAnsi="Times New Roman" w:cs="Times New Roman"/>
        </w:rPr>
        <w:t xml:space="preserve"> amaca uygun kullanmay</w:t>
      </w:r>
      <w:r w:rsidR="005731F5" w:rsidRPr="005731F5">
        <w:rPr>
          <w:rFonts w:ascii="Times New Roman" w:hAnsi="Times New Roman" w:cs="Times New Roman" w:hint="cs"/>
        </w:rPr>
        <w:t>ı</w:t>
      </w:r>
      <w:r w:rsidR="005731F5" w:rsidRPr="005731F5">
        <w:rPr>
          <w:rFonts w:ascii="Times New Roman" w:hAnsi="Times New Roman" w:cs="Times New Roman"/>
        </w:rPr>
        <w:t xml:space="preserve"> ve e</w:t>
      </w:r>
      <w:r w:rsidR="005731F5" w:rsidRPr="005731F5">
        <w:rPr>
          <w:rFonts w:ascii="Times New Roman" w:hAnsi="Times New Roman" w:cs="Times New Roman" w:hint="cs"/>
        </w:rPr>
        <w:t>ğ</w:t>
      </w:r>
      <w:r w:rsidR="005731F5" w:rsidRPr="005731F5">
        <w:rPr>
          <w:rFonts w:ascii="Times New Roman" w:hAnsi="Times New Roman" w:cs="Times New Roman"/>
        </w:rPr>
        <w:t>itim ile ara</w:t>
      </w:r>
      <w:r w:rsidR="005731F5" w:rsidRPr="005731F5">
        <w:rPr>
          <w:rFonts w:ascii="Times New Roman" w:hAnsi="Times New Roman" w:cs="Times New Roman" w:hint="cs"/>
        </w:rPr>
        <w:t>ş</w:t>
      </w:r>
      <w:r w:rsidR="005731F5" w:rsidRPr="005731F5">
        <w:rPr>
          <w:rFonts w:ascii="Times New Roman" w:hAnsi="Times New Roman" w:cs="Times New Roman"/>
        </w:rPr>
        <w:t>t</w:t>
      </w:r>
      <w:r w:rsidR="005731F5" w:rsidRPr="005731F5">
        <w:rPr>
          <w:rFonts w:ascii="Times New Roman" w:hAnsi="Times New Roman" w:cs="Times New Roman" w:hint="cs"/>
        </w:rPr>
        <w:t>ı</w:t>
      </w:r>
      <w:r w:rsidR="005731F5" w:rsidRPr="005731F5">
        <w:rPr>
          <w:rFonts w:ascii="Times New Roman" w:hAnsi="Times New Roman" w:cs="Times New Roman"/>
        </w:rPr>
        <w:t>rman</w:t>
      </w:r>
      <w:r w:rsidR="005731F5" w:rsidRPr="005731F5">
        <w:rPr>
          <w:rFonts w:ascii="Times New Roman" w:hAnsi="Times New Roman" w:cs="Times New Roman" w:hint="cs"/>
        </w:rPr>
        <w:t>ı</w:t>
      </w:r>
      <w:r w:rsidR="005731F5" w:rsidRPr="005731F5">
        <w:rPr>
          <w:rFonts w:ascii="Times New Roman" w:hAnsi="Times New Roman" w:cs="Times New Roman"/>
        </w:rPr>
        <w:t>n niteli</w:t>
      </w:r>
      <w:r w:rsidR="005731F5" w:rsidRPr="005731F5">
        <w:rPr>
          <w:rFonts w:ascii="Times New Roman" w:hAnsi="Times New Roman" w:cs="Times New Roman" w:hint="cs"/>
        </w:rPr>
        <w:t>ğ</w:t>
      </w:r>
      <w:r w:rsidR="005731F5" w:rsidRPr="005731F5">
        <w:rPr>
          <w:rFonts w:ascii="Times New Roman" w:hAnsi="Times New Roman" w:cs="Times New Roman"/>
        </w:rPr>
        <w:t>ini s</w:t>
      </w:r>
      <w:r w:rsidR="005731F5" w:rsidRPr="005731F5">
        <w:rPr>
          <w:rFonts w:ascii="Times New Roman" w:hAnsi="Times New Roman" w:cs="Times New Roman" w:hint="cs"/>
        </w:rPr>
        <w:t>ü</w:t>
      </w:r>
      <w:r w:rsidR="005731F5" w:rsidRPr="005731F5">
        <w:rPr>
          <w:rFonts w:ascii="Times New Roman" w:hAnsi="Times New Roman" w:cs="Times New Roman"/>
        </w:rPr>
        <w:t>rekli geli</w:t>
      </w:r>
      <w:r w:rsidR="005731F5" w:rsidRPr="005731F5">
        <w:rPr>
          <w:rFonts w:ascii="Times New Roman" w:hAnsi="Times New Roman" w:cs="Times New Roman" w:hint="cs"/>
        </w:rPr>
        <w:t>ş</w:t>
      </w:r>
      <w:r w:rsidR="005731F5" w:rsidRPr="005731F5">
        <w:rPr>
          <w:rFonts w:ascii="Times New Roman" w:hAnsi="Times New Roman" w:cs="Times New Roman"/>
        </w:rPr>
        <w:t>tirmeyi destekleyebilece</w:t>
      </w:r>
      <w:r w:rsidR="005731F5" w:rsidRPr="005731F5">
        <w:rPr>
          <w:rFonts w:ascii="Times New Roman" w:hAnsi="Times New Roman" w:cs="Times New Roman" w:hint="cs"/>
        </w:rPr>
        <w:t>ğ</w:t>
      </w:r>
      <w:r w:rsidR="005731F5" w:rsidRPr="005731F5">
        <w:rPr>
          <w:rFonts w:ascii="Times New Roman" w:hAnsi="Times New Roman" w:cs="Times New Roman"/>
        </w:rPr>
        <w:t>ini g</w:t>
      </w:r>
      <w:r w:rsidR="005731F5" w:rsidRPr="005731F5">
        <w:rPr>
          <w:rFonts w:ascii="Times New Roman" w:hAnsi="Times New Roman" w:cs="Times New Roman" w:hint="cs"/>
        </w:rPr>
        <w:t>ö</w:t>
      </w:r>
      <w:r w:rsidR="005731F5" w:rsidRPr="005731F5">
        <w:rPr>
          <w:rFonts w:ascii="Times New Roman" w:hAnsi="Times New Roman" w:cs="Times New Roman"/>
        </w:rPr>
        <w:t>stermektedir.</w:t>
      </w:r>
    </w:p>
    <w:p w14:paraId="476F036F" w14:textId="77777777" w:rsidR="009861F5" w:rsidRPr="000D340F" w:rsidRDefault="0087640C">
      <w:pPr>
        <w:pStyle w:val="Balk2"/>
        <w:rPr>
          <w:rFonts w:cs="Times New Roman"/>
        </w:rPr>
      </w:pPr>
      <w:r w:rsidRPr="000D340F">
        <w:rPr>
          <w:rFonts w:cs="Times New Roman"/>
        </w:rPr>
        <w:t>Kaynakça</w:t>
      </w:r>
    </w:p>
    <w:p w14:paraId="08E38DD9" w14:textId="77777777" w:rsidR="009861F5" w:rsidRPr="000D340F" w:rsidRDefault="009C6033">
      <w:pPr>
        <w:spacing w:after="120" w:line="252" w:lineRule="auto"/>
        <w:ind w:left="560" w:hanging="560"/>
        <w:rPr>
          <w:rFonts w:ascii="Times New Roman" w:hAnsi="Times New Roman" w:cs="Times New Roman"/>
        </w:rPr>
      </w:pPr>
      <w:r w:rsidRPr="000D340F">
        <w:rPr>
          <w:rFonts w:ascii="Times New Roman" w:hAnsi="Times New Roman" w:cs="Times New Roman"/>
          <w:sz w:val="19"/>
        </w:rPr>
        <w:t xml:space="preserve">Times Higher Education. (2026). </w:t>
      </w:r>
      <w:r w:rsidRPr="000D340F">
        <w:rPr>
          <w:rFonts w:ascii="Times New Roman" w:hAnsi="Times New Roman" w:cs="Times New Roman"/>
          <w:i/>
          <w:sz w:val="19"/>
        </w:rPr>
        <w:t xml:space="preserve">World </w:t>
      </w:r>
      <w:proofErr w:type="spellStart"/>
      <w:r w:rsidRPr="000D340F">
        <w:rPr>
          <w:rFonts w:ascii="Times New Roman" w:hAnsi="Times New Roman" w:cs="Times New Roman"/>
          <w:i/>
          <w:sz w:val="19"/>
        </w:rPr>
        <w:t>university</w:t>
      </w:r>
      <w:proofErr w:type="spellEnd"/>
      <w:r w:rsidRPr="000D340F">
        <w:rPr>
          <w:rFonts w:ascii="Times New Roman" w:hAnsi="Times New Roman" w:cs="Times New Roman"/>
          <w:i/>
          <w:sz w:val="19"/>
        </w:rPr>
        <w:t xml:space="preserve"> </w:t>
      </w:r>
      <w:proofErr w:type="spellStart"/>
      <w:r w:rsidRPr="000D340F">
        <w:rPr>
          <w:rFonts w:ascii="Times New Roman" w:hAnsi="Times New Roman" w:cs="Times New Roman"/>
          <w:i/>
          <w:sz w:val="19"/>
        </w:rPr>
        <w:t>rankings</w:t>
      </w:r>
      <w:proofErr w:type="spellEnd"/>
      <w:r w:rsidRPr="000D340F">
        <w:rPr>
          <w:rFonts w:ascii="Times New Roman" w:hAnsi="Times New Roman" w:cs="Times New Roman"/>
          <w:i/>
          <w:sz w:val="19"/>
        </w:rPr>
        <w:t xml:space="preserve"> 2027</w:t>
      </w:r>
      <w:r w:rsidRPr="000D340F">
        <w:rPr>
          <w:rFonts w:ascii="Times New Roman" w:hAnsi="Times New Roman" w:cs="Times New Roman"/>
          <w:sz w:val="19"/>
        </w:rPr>
        <w:t>. https://www.timeshighereducation.com/world-university-rankings/latest/world-ranking</w:t>
      </w:r>
    </w:p>
    <w:p w14:paraId="1CC56D1D" w14:textId="77777777" w:rsidR="009861F5" w:rsidRPr="000D340F" w:rsidRDefault="009C6033">
      <w:pPr>
        <w:spacing w:after="120" w:line="252" w:lineRule="auto"/>
        <w:ind w:left="560" w:hanging="560"/>
        <w:rPr>
          <w:rFonts w:ascii="Times New Roman" w:hAnsi="Times New Roman" w:cs="Times New Roman"/>
        </w:rPr>
      </w:pPr>
      <w:r w:rsidRPr="000D340F">
        <w:rPr>
          <w:rFonts w:ascii="Times New Roman" w:hAnsi="Times New Roman" w:cs="Times New Roman"/>
          <w:sz w:val="19"/>
        </w:rPr>
        <w:t xml:space="preserve">University of Cambridge. (n.d.). </w:t>
      </w:r>
      <w:r w:rsidRPr="000D340F">
        <w:rPr>
          <w:rFonts w:ascii="Times New Roman" w:hAnsi="Times New Roman" w:cs="Times New Roman"/>
          <w:i/>
          <w:sz w:val="19"/>
        </w:rPr>
        <w:t xml:space="preserve">Risk </w:t>
      </w:r>
      <w:proofErr w:type="spellStart"/>
      <w:r w:rsidRPr="000D340F">
        <w:rPr>
          <w:rFonts w:ascii="Times New Roman" w:hAnsi="Times New Roman" w:cs="Times New Roman"/>
          <w:i/>
          <w:sz w:val="19"/>
        </w:rPr>
        <w:t>management</w:t>
      </w:r>
      <w:proofErr w:type="spellEnd"/>
      <w:r w:rsidRPr="000D340F">
        <w:rPr>
          <w:rFonts w:ascii="Times New Roman" w:hAnsi="Times New Roman" w:cs="Times New Roman"/>
          <w:i/>
          <w:sz w:val="19"/>
        </w:rPr>
        <w:t xml:space="preserve"> at Cambridge</w:t>
      </w:r>
      <w:r w:rsidRPr="000D340F">
        <w:rPr>
          <w:rFonts w:ascii="Times New Roman" w:hAnsi="Times New Roman" w:cs="Times New Roman"/>
          <w:sz w:val="19"/>
        </w:rPr>
        <w:t>. https://www.governanceandcompliance.admin.cam.ac.uk/assurance-audit-regulatory-compliance/risk-management/risk-management-cambridge</w:t>
      </w:r>
    </w:p>
    <w:p w14:paraId="5CF7BC9D" w14:textId="77777777" w:rsidR="009861F5" w:rsidRPr="000D340F" w:rsidRDefault="009C6033">
      <w:pPr>
        <w:spacing w:after="120" w:line="252" w:lineRule="auto"/>
        <w:ind w:left="560" w:hanging="560"/>
        <w:rPr>
          <w:rFonts w:ascii="Times New Roman" w:hAnsi="Times New Roman" w:cs="Times New Roman"/>
        </w:rPr>
      </w:pPr>
      <w:r w:rsidRPr="000D340F">
        <w:rPr>
          <w:rFonts w:ascii="Times New Roman" w:hAnsi="Times New Roman" w:cs="Times New Roman"/>
          <w:sz w:val="19"/>
        </w:rPr>
        <w:t xml:space="preserve">University of Edinburgh. (2025). </w:t>
      </w:r>
      <w:proofErr w:type="spellStart"/>
      <w:r w:rsidRPr="000D340F">
        <w:rPr>
          <w:rFonts w:ascii="Times New Roman" w:hAnsi="Times New Roman" w:cs="Times New Roman"/>
          <w:i/>
          <w:sz w:val="19"/>
        </w:rPr>
        <w:t>Annual</w:t>
      </w:r>
      <w:proofErr w:type="spellEnd"/>
      <w:r w:rsidRPr="000D340F">
        <w:rPr>
          <w:rFonts w:ascii="Times New Roman" w:hAnsi="Times New Roman" w:cs="Times New Roman"/>
          <w:i/>
          <w:sz w:val="19"/>
        </w:rPr>
        <w:t xml:space="preserve"> </w:t>
      </w:r>
      <w:proofErr w:type="spellStart"/>
      <w:r w:rsidRPr="000D340F">
        <w:rPr>
          <w:rFonts w:ascii="Times New Roman" w:hAnsi="Times New Roman" w:cs="Times New Roman"/>
          <w:i/>
          <w:sz w:val="19"/>
        </w:rPr>
        <w:t>report</w:t>
      </w:r>
      <w:proofErr w:type="spellEnd"/>
      <w:r w:rsidRPr="000D340F">
        <w:rPr>
          <w:rFonts w:ascii="Times New Roman" w:hAnsi="Times New Roman" w:cs="Times New Roman"/>
          <w:i/>
          <w:sz w:val="19"/>
        </w:rPr>
        <w:t xml:space="preserve"> and </w:t>
      </w:r>
      <w:proofErr w:type="spellStart"/>
      <w:r w:rsidRPr="000D340F">
        <w:rPr>
          <w:rFonts w:ascii="Times New Roman" w:hAnsi="Times New Roman" w:cs="Times New Roman"/>
          <w:i/>
          <w:sz w:val="19"/>
        </w:rPr>
        <w:t>accounts</w:t>
      </w:r>
      <w:proofErr w:type="spellEnd"/>
      <w:r w:rsidRPr="000D340F">
        <w:rPr>
          <w:rFonts w:ascii="Times New Roman" w:hAnsi="Times New Roman" w:cs="Times New Roman"/>
          <w:i/>
          <w:sz w:val="19"/>
        </w:rPr>
        <w:t xml:space="preserve"> 2024–25</w:t>
      </w:r>
      <w:r w:rsidRPr="000D340F">
        <w:rPr>
          <w:rFonts w:ascii="Times New Roman" w:hAnsi="Times New Roman" w:cs="Times New Roman"/>
          <w:sz w:val="19"/>
        </w:rPr>
        <w:t>. https://uoe-</w:t>
      </w:r>
      <w:proofErr w:type="gramStart"/>
      <w:r w:rsidRPr="000D340F">
        <w:rPr>
          <w:rFonts w:ascii="Times New Roman" w:hAnsi="Times New Roman" w:cs="Times New Roman"/>
          <w:sz w:val="19"/>
        </w:rPr>
        <w:t>finance.ed.ac</w:t>
      </w:r>
      <w:proofErr w:type="gramEnd"/>
      <w:r w:rsidRPr="000D340F">
        <w:rPr>
          <w:rFonts w:ascii="Times New Roman" w:hAnsi="Times New Roman" w:cs="Times New Roman"/>
          <w:sz w:val="19"/>
        </w:rPr>
        <w:t>.uk/sites/default/files/2026-01/Annual%20Report%20and%20Accounts%20for%202024/25.pdf</w:t>
      </w:r>
    </w:p>
    <w:p w14:paraId="270BAD07" w14:textId="77777777" w:rsidR="009861F5" w:rsidRPr="000D340F" w:rsidRDefault="009C6033">
      <w:pPr>
        <w:spacing w:after="120" w:line="252" w:lineRule="auto"/>
        <w:ind w:left="560" w:hanging="560"/>
        <w:rPr>
          <w:rFonts w:ascii="Times New Roman" w:hAnsi="Times New Roman" w:cs="Times New Roman"/>
        </w:rPr>
      </w:pPr>
      <w:r w:rsidRPr="000D340F">
        <w:rPr>
          <w:rFonts w:ascii="Times New Roman" w:hAnsi="Times New Roman" w:cs="Times New Roman"/>
          <w:sz w:val="19"/>
        </w:rPr>
        <w:t xml:space="preserve">University of Oxford. (n.d.). </w:t>
      </w:r>
      <w:r w:rsidRPr="000D340F">
        <w:rPr>
          <w:rFonts w:ascii="Times New Roman" w:hAnsi="Times New Roman" w:cs="Times New Roman"/>
          <w:i/>
          <w:sz w:val="19"/>
        </w:rPr>
        <w:t xml:space="preserve">Finance and </w:t>
      </w:r>
      <w:proofErr w:type="spellStart"/>
      <w:r w:rsidRPr="000D340F">
        <w:rPr>
          <w:rFonts w:ascii="Times New Roman" w:hAnsi="Times New Roman" w:cs="Times New Roman"/>
          <w:i/>
          <w:sz w:val="19"/>
        </w:rPr>
        <w:t>funding</w:t>
      </w:r>
      <w:proofErr w:type="spellEnd"/>
      <w:r w:rsidRPr="000D340F">
        <w:rPr>
          <w:rFonts w:ascii="Times New Roman" w:hAnsi="Times New Roman" w:cs="Times New Roman"/>
          <w:sz w:val="19"/>
        </w:rPr>
        <w:t>. https://www.ox.ac.uk/about/how-we-are-run/governance-finance/finance-funding</w:t>
      </w:r>
    </w:p>
    <w:p w14:paraId="05F99ECB" w14:textId="77777777" w:rsidR="009861F5" w:rsidRPr="000D340F" w:rsidRDefault="009C6033">
      <w:pPr>
        <w:spacing w:after="120" w:line="252" w:lineRule="auto"/>
        <w:ind w:left="560" w:hanging="560"/>
        <w:rPr>
          <w:rFonts w:ascii="Times New Roman" w:hAnsi="Times New Roman" w:cs="Times New Roman"/>
        </w:rPr>
      </w:pPr>
      <w:r w:rsidRPr="000D340F">
        <w:rPr>
          <w:rFonts w:ascii="Times New Roman" w:hAnsi="Times New Roman" w:cs="Times New Roman"/>
          <w:sz w:val="19"/>
        </w:rPr>
        <w:t xml:space="preserve">University of Oxford. (2026, April 16). </w:t>
      </w:r>
      <w:r w:rsidRPr="000D340F">
        <w:rPr>
          <w:rFonts w:ascii="Times New Roman" w:hAnsi="Times New Roman" w:cs="Times New Roman"/>
          <w:i/>
          <w:sz w:val="19"/>
        </w:rPr>
        <w:t xml:space="preserve">Student </w:t>
      </w:r>
      <w:proofErr w:type="spellStart"/>
      <w:r w:rsidRPr="000D340F">
        <w:rPr>
          <w:rFonts w:ascii="Times New Roman" w:hAnsi="Times New Roman" w:cs="Times New Roman"/>
          <w:i/>
          <w:sz w:val="19"/>
        </w:rPr>
        <w:t>welfare</w:t>
      </w:r>
      <w:proofErr w:type="spellEnd"/>
      <w:r w:rsidRPr="000D340F">
        <w:rPr>
          <w:rFonts w:ascii="Times New Roman" w:hAnsi="Times New Roman" w:cs="Times New Roman"/>
          <w:i/>
          <w:sz w:val="19"/>
        </w:rPr>
        <w:t xml:space="preserve"> and </w:t>
      </w:r>
      <w:proofErr w:type="spellStart"/>
      <w:r w:rsidRPr="000D340F">
        <w:rPr>
          <w:rFonts w:ascii="Times New Roman" w:hAnsi="Times New Roman" w:cs="Times New Roman"/>
          <w:i/>
          <w:sz w:val="19"/>
        </w:rPr>
        <w:t>support</w:t>
      </w:r>
      <w:proofErr w:type="spellEnd"/>
      <w:r w:rsidRPr="000D340F">
        <w:rPr>
          <w:rFonts w:ascii="Times New Roman" w:hAnsi="Times New Roman" w:cs="Times New Roman"/>
          <w:i/>
          <w:sz w:val="19"/>
        </w:rPr>
        <w:t xml:space="preserve"> </w:t>
      </w:r>
      <w:proofErr w:type="spellStart"/>
      <w:r w:rsidRPr="000D340F">
        <w:rPr>
          <w:rFonts w:ascii="Times New Roman" w:hAnsi="Times New Roman" w:cs="Times New Roman"/>
          <w:i/>
          <w:sz w:val="19"/>
        </w:rPr>
        <w:t>services</w:t>
      </w:r>
      <w:proofErr w:type="spellEnd"/>
      <w:r w:rsidRPr="000D340F">
        <w:rPr>
          <w:rFonts w:ascii="Times New Roman" w:hAnsi="Times New Roman" w:cs="Times New Roman"/>
          <w:i/>
          <w:sz w:val="19"/>
        </w:rPr>
        <w:t xml:space="preserve"> </w:t>
      </w:r>
      <w:proofErr w:type="spellStart"/>
      <w:r w:rsidRPr="000D340F">
        <w:rPr>
          <w:rFonts w:ascii="Times New Roman" w:hAnsi="Times New Roman" w:cs="Times New Roman"/>
          <w:i/>
          <w:sz w:val="19"/>
        </w:rPr>
        <w:t>reports</w:t>
      </w:r>
      <w:proofErr w:type="spellEnd"/>
      <w:r w:rsidRPr="000D340F">
        <w:rPr>
          <w:rFonts w:ascii="Times New Roman" w:hAnsi="Times New Roman" w:cs="Times New Roman"/>
          <w:i/>
          <w:sz w:val="19"/>
        </w:rPr>
        <w:t xml:space="preserve"> 2024/25 </w:t>
      </w:r>
      <w:proofErr w:type="spellStart"/>
      <w:r w:rsidRPr="000D340F">
        <w:rPr>
          <w:rFonts w:ascii="Times New Roman" w:hAnsi="Times New Roman" w:cs="Times New Roman"/>
          <w:i/>
          <w:sz w:val="19"/>
        </w:rPr>
        <w:t>published</w:t>
      </w:r>
      <w:proofErr w:type="spellEnd"/>
      <w:r w:rsidRPr="000D340F">
        <w:rPr>
          <w:rFonts w:ascii="Times New Roman" w:hAnsi="Times New Roman" w:cs="Times New Roman"/>
          <w:sz w:val="19"/>
        </w:rPr>
        <w:t>. https://www.ox.ac.uk/news/2026-04-16/student-welfare-and-support-services-reports-2024/25-published</w:t>
      </w:r>
    </w:p>
    <w:sectPr w:rsidR="009861F5" w:rsidRPr="000D340F" w:rsidSect="00034616">
      <w:footerReference w:type="default" r:id="rId12"/>
      <w:pgSz w:w="12240" w:h="15840"/>
      <w:pgMar w:top="1304" w:right="1474" w:bottom="1304"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5E5BF" w14:textId="77777777" w:rsidR="00DE2FC3" w:rsidRDefault="00DE2FC3">
      <w:pPr>
        <w:spacing w:after="0" w:line="240" w:lineRule="auto"/>
        <w:rPr>
          <w:rFonts w:hint="eastAsia"/>
        </w:rPr>
      </w:pPr>
      <w:r>
        <w:separator/>
      </w:r>
    </w:p>
  </w:endnote>
  <w:endnote w:type="continuationSeparator" w:id="0">
    <w:p w14:paraId="70FBA162" w14:textId="77777777" w:rsidR="00DE2FC3" w:rsidRDefault="00DE2FC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69189" w14:textId="5BAD655C" w:rsidR="00E07CA6" w:rsidRPr="00AB6BF4" w:rsidRDefault="00635DB6">
    <w:pPr>
      <w:pStyle w:val="AltBilgi"/>
      <w:jc w:val="center"/>
      <w:rPr>
        <w:rFonts w:hint="eastAsia"/>
        <w:color w:val="auto"/>
      </w:rPr>
    </w:pPr>
    <w:r w:rsidRPr="00AB6BF4">
      <w:rPr>
        <w:color w:val="auto"/>
        <w:sz w:val="18"/>
      </w:rPr>
      <w:t xml:space="preserve">Üniversitelerde Risk Göstergeleri  |  </w:t>
    </w:r>
    <w:r w:rsidRPr="00AB6BF4">
      <w:rPr>
        <w:color w:val="auto"/>
      </w:rPr>
      <w:fldChar w:fldCharType="begin"/>
    </w:r>
    <w:r w:rsidRPr="00AB6BF4">
      <w:rPr>
        <w:color w:val="auto"/>
      </w:rPr>
      <w:instrText>PAGE</w:instrText>
    </w:r>
    <w:r w:rsidRPr="00AB6BF4">
      <w:rPr>
        <w:color w:val="auto"/>
      </w:rPr>
      <w:fldChar w:fldCharType="separate"/>
    </w:r>
    <w:r w:rsidR="00A40B3B">
      <w:rPr>
        <w:rFonts w:hint="eastAsia"/>
        <w:noProof/>
        <w:color w:val="auto"/>
      </w:rPr>
      <w:t>6</w:t>
    </w:r>
    <w:r w:rsidRPr="00AB6BF4">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A077E" w14:textId="77777777" w:rsidR="00DE2FC3" w:rsidRDefault="00DE2FC3">
      <w:pPr>
        <w:spacing w:after="0" w:line="240" w:lineRule="auto"/>
        <w:rPr>
          <w:rFonts w:hint="eastAsia"/>
        </w:rPr>
      </w:pPr>
      <w:r>
        <w:separator/>
      </w:r>
    </w:p>
  </w:footnote>
  <w:footnote w:type="continuationSeparator" w:id="0">
    <w:p w14:paraId="023E34A2" w14:textId="77777777" w:rsidR="00DE2FC3" w:rsidRDefault="00DE2FC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37D23361"/>
    <w:multiLevelType w:val="hybridMultilevel"/>
    <w:tmpl w:val="81FC1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707C4"/>
    <w:multiLevelType w:val="hybridMultilevel"/>
    <w:tmpl w:val="4A6A5024"/>
    <w:lvl w:ilvl="0" w:tplc="DD42ABE2">
      <w:start w:val="1"/>
      <w:numFmt w:val="bullet"/>
      <w:lvlText w:val="-"/>
      <w:lvlJc w:val="left"/>
      <w:pPr>
        <w:ind w:left="360" w:hanging="360"/>
      </w:pPr>
      <w:rPr>
        <w:rFonts w:ascii="Symbol" w:hAnsi="Symbol" w:cs="Times New Roman" w:hint="default"/>
        <w:b/>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1D43"/>
    <w:rsid w:val="00034616"/>
    <w:rsid w:val="0006063C"/>
    <w:rsid w:val="00081609"/>
    <w:rsid w:val="000D340F"/>
    <w:rsid w:val="000E15EA"/>
    <w:rsid w:val="0011501E"/>
    <w:rsid w:val="0015074B"/>
    <w:rsid w:val="001820D8"/>
    <w:rsid w:val="001A5980"/>
    <w:rsid w:val="001E41BE"/>
    <w:rsid w:val="00292138"/>
    <w:rsid w:val="0029639D"/>
    <w:rsid w:val="002E338D"/>
    <w:rsid w:val="00325893"/>
    <w:rsid w:val="00326F90"/>
    <w:rsid w:val="003A5879"/>
    <w:rsid w:val="004669FA"/>
    <w:rsid w:val="004A7C33"/>
    <w:rsid w:val="00533347"/>
    <w:rsid w:val="00562792"/>
    <w:rsid w:val="005731F5"/>
    <w:rsid w:val="005D40A6"/>
    <w:rsid w:val="00635DB6"/>
    <w:rsid w:val="00637F9D"/>
    <w:rsid w:val="006B2A5D"/>
    <w:rsid w:val="006D7C8F"/>
    <w:rsid w:val="007C06FC"/>
    <w:rsid w:val="00800986"/>
    <w:rsid w:val="00830C9F"/>
    <w:rsid w:val="00832A66"/>
    <w:rsid w:val="0087640C"/>
    <w:rsid w:val="00893A48"/>
    <w:rsid w:val="00927C45"/>
    <w:rsid w:val="0094202E"/>
    <w:rsid w:val="009436CF"/>
    <w:rsid w:val="009861F5"/>
    <w:rsid w:val="0099328E"/>
    <w:rsid w:val="009C6033"/>
    <w:rsid w:val="009E46A3"/>
    <w:rsid w:val="00A40B3B"/>
    <w:rsid w:val="00A46CE4"/>
    <w:rsid w:val="00A81E23"/>
    <w:rsid w:val="00A90FCA"/>
    <w:rsid w:val="00AA1D8D"/>
    <w:rsid w:val="00AB6BF4"/>
    <w:rsid w:val="00AC687B"/>
    <w:rsid w:val="00AD4BE5"/>
    <w:rsid w:val="00B05584"/>
    <w:rsid w:val="00B35B29"/>
    <w:rsid w:val="00B47730"/>
    <w:rsid w:val="00BB0D97"/>
    <w:rsid w:val="00BD0E11"/>
    <w:rsid w:val="00C5288C"/>
    <w:rsid w:val="00CA586D"/>
    <w:rsid w:val="00CB0664"/>
    <w:rsid w:val="00CB4BA1"/>
    <w:rsid w:val="00CB5DD1"/>
    <w:rsid w:val="00D31A56"/>
    <w:rsid w:val="00D3680E"/>
    <w:rsid w:val="00D5749F"/>
    <w:rsid w:val="00D84B41"/>
    <w:rsid w:val="00DE0EB4"/>
    <w:rsid w:val="00DE2FC3"/>
    <w:rsid w:val="00DF4CA1"/>
    <w:rsid w:val="00E07CA6"/>
    <w:rsid w:val="00E24FBC"/>
    <w:rsid w:val="00E8035F"/>
    <w:rsid w:val="00EF7133"/>
    <w:rsid w:val="00F160FF"/>
    <w:rsid w:val="00F41539"/>
    <w:rsid w:val="00F56F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5B8B69"/>
  <w14:defaultImageDpi w14:val="300"/>
  <w15:docId w15:val="{12C0ADAC-7B41-4941-AA39-27C3744F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B3B"/>
    <w:pPr>
      <w:spacing w:after="160" w:line="283" w:lineRule="auto"/>
    </w:pPr>
    <w:rPr>
      <w:rFonts w:ascii="Aptos" w:hAnsi="Aptos"/>
      <w:color w:val="26303D"/>
      <w:lang w:val="tr-TR"/>
    </w:rPr>
  </w:style>
  <w:style w:type="paragraph" w:styleId="Balk1">
    <w:name w:val="heading 1"/>
    <w:basedOn w:val="Normal"/>
    <w:next w:val="Normal"/>
    <w:link w:val="Balk1Char"/>
    <w:uiPriority w:val="9"/>
    <w:qFormat/>
    <w:rsid w:val="00A81E23"/>
    <w:pPr>
      <w:keepNext/>
      <w:keepLines/>
      <w:spacing w:before="120" w:after="120"/>
      <w:jc w:val="center"/>
      <w:outlineLvl w:val="0"/>
    </w:pPr>
    <w:rPr>
      <w:rFonts w:ascii="Times New Roman" w:eastAsiaTheme="majorEastAsia" w:hAnsi="Times New Roman" w:cstheme="majorBidi"/>
      <w:b/>
      <w:bCs/>
      <w:color w:val="17365D"/>
      <w:sz w:val="40"/>
      <w:szCs w:val="28"/>
    </w:rPr>
  </w:style>
  <w:style w:type="paragraph" w:styleId="Balk2">
    <w:name w:val="heading 2"/>
    <w:basedOn w:val="Normal"/>
    <w:next w:val="Normal"/>
    <w:link w:val="Balk2Char"/>
    <w:uiPriority w:val="9"/>
    <w:unhideWhenUsed/>
    <w:qFormat/>
    <w:rsid w:val="00E8035F"/>
    <w:pPr>
      <w:keepNext/>
      <w:keepLines/>
      <w:spacing w:before="240" w:after="60"/>
      <w:outlineLvl w:val="1"/>
    </w:pPr>
    <w:rPr>
      <w:rFonts w:ascii="Times New Roman" w:eastAsiaTheme="majorEastAsia" w:hAnsi="Times New Roman" w:cstheme="majorBidi"/>
      <w:b/>
      <w:bCs/>
      <w:color w:val="245B78"/>
      <w:sz w:val="28"/>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A81E23"/>
    <w:rPr>
      <w:rFonts w:ascii="Times New Roman" w:eastAsiaTheme="majorEastAsia" w:hAnsi="Times New Roman" w:cstheme="majorBidi"/>
      <w:b/>
      <w:bCs/>
      <w:color w:val="17365D"/>
      <w:sz w:val="40"/>
      <w:szCs w:val="28"/>
    </w:rPr>
  </w:style>
  <w:style w:type="character" w:customStyle="1" w:styleId="Balk2Char">
    <w:name w:val="Başlık 2 Char"/>
    <w:basedOn w:val="VarsaylanParagrafYazTipi"/>
    <w:link w:val="Balk2"/>
    <w:uiPriority w:val="9"/>
    <w:rsid w:val="00E8035F"/>
    <w:rPr>
      <w:rFonts w:ascii="Times New Roman" w:eastAsiaTheme="majorEastAsia" w:hAnsi="Times New Roman" w:cstheme="majorBidi"/>
      <w:b/>
      <w:bCs/>
      <w:color w:val="245B78"/>
      <w:sz w:val="28"/>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F4153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1539"/>
    <w:rPr>
      <w:rFonts w:ascii="Segoe UI" w:hAnsi="Segoe UI" w:cs="Segoe UI"/>
      <w:color w:val="26303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763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4AA3BDECCF74EB1D0A0E180B92AF8" ma:contentTypeVersion="21" ma:contentTypeDescription="Create a new document." ma:contentTypeScope="" ma:versionID="590ed3fb0dd6f776730fad01cef0ea09">
  <xsd:schema xmlns:xsd="http://www.w3.org/2001/XMLSchema" xmlns:xs="http://www.w3.org/2001/XMLSchema" xmlns:p="http://schemas.microsoft.com/office/2006/metadata/properties" xmlns:ns3="e4304209-2145-48ef-ad9a-a87365947ac5" xmlns:ns4="219bdc3c-4cf7-41a9-81b4-33316fffbb76" targetNamespace="http://schemas.microsoft.com/office/2006/metadata/properties" ma:root="true" ma:fieldsID="5f980bf0ff27617170c1e433462e4593" ns3:_="" ns4:_="">
    <xsd:import namespace="e4304209-2145-48ef-ad9a-a87365947ac5"/>
    <xsd:import namespace="219bdc3c-4cf7-41a9-81b4-33316fffbb76"/>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04209-2145-48ef-ad9a-a87365947ac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9bdc3c-4cf7-41a9-81b4-33316fffbb7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19bdc3c-4cf7-41a9-81b4-33316fffbb7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49935-FE4A-4563-B90C-FB7194F70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04209-2145-48ef-ad9a-a87365947ac5"/>
    <ds:schemaRef ds:uri="219bdc3c-4cf7-41a9-81b4-33316fffb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9036BE-5B85-4134-8949-911BFC84A15C}">
  <ds:schemaRefs>
    <ds:schemaRef ds:uri="http://schemas.microsoft.com/sharepoint/v3/contenttype/forms"/>
  </ds:schemaRefs>
</ds:datastoreItem>
</file>

<file path=customXml/itemProps3.xml><?xml version="1.0" encoding="utf-8"?>
<ds:datastoreItem xmlns:ds="http://schemas.openxmlformats.org/officeDocument/2006/customXml" ds:itemID="{E069F089-C5C1-4B2D-B4BE-2E4F6C104B1F}">
  <ds:schemaRefs>
    <ds:schemaRef ds:uri="http://purl.org/dc/terms/"/>
    <ds:schemaRef ds:uri="http://purl.org/dc/elements/1.1/"/>
    <ds:schemaRef ds:uri="http://purl.org/dc/dcmitype/"/>
    <ds:schemaRef ds:uri="http://schemas.microsoft.com/office/2006/metadata/properties"/>
    <ds:schemaRef ds:uri="e4304209-2145-48ef-ad9a-a87365947ac5"/>
    <ds:schemaRef ds:uri="http://schemas.microsoft.com/office/2006/documentManagement/types"/>
    <ds:schemaRef ds:uri="http://www.w3.org/XML/1998/namespace"/>
    <ds:schemaRef ds:uri="http://schemas.openxmlformats.org/package/2006/metadata/core-properties"/>
    <ds:schemaRef ds:uri="219bdc3c-4cf7-41a9-81b4-33316fffbb76"/>
    <ds:schemaRef ds:uri="http://schemas.microsoft.com/office/infopath/2007/PartnerControls"/>
  </ds:schemaRefs>
</ds:datastoreItem>
</file>

<file path=customXml/itemProps4.xml><?xml version="1.0" encoding="utf-8"?>
<ds:datastoreItem xmlns:ds="http://schemas.openxmlformats.org/officeDocument/2006/customXml" ds:itemID="{3A53A634-6C49-4C83-AD90-B9D8C90A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2751</Words>
  <Characters>15687</Characters>
  <Application>Microsoft Office Word</Application>
  <DocSecurity>0</DocSecurity>
  <Lines>130</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Üniversitelerde Risk Göstergeleri</vt:lpstr>
      <vt:lpstr/>
    </vt:vector>
  </TitlesOfParts>
  <Manager/>
  <Company/>
  <LinksUpToDate>false</LinksUpToDate>
  <CharactersWithSpaces>18402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Üniversitelerde Risk Göstergeleri</dc:title>
  <dc:subject>Üniversitelerde risk göstergeleri, performans ölçütleri ve risk iştahı</dc:subject>
  <dc:creator>YÖDAK Başkan Yardımcısı perspektifiyle</dc:creator>
  <cp:keywords/>
  <dc:description>generated by python-docx</dc:description>
  <cp:lastModifiedBy>TOPUZGAZETESİ</cp:lastModifiedBy>
  <cp:revision>13</cp:revision>
  <cp:lastPrinted>2026-10-07T18:16:00Z</cp:lastPrinted>
  <dcterms:created xsi:type="dcterms:W3CDTF">2026-10-07T18:15:00Z</dcterms:created>
  <dcterms:modified xsi:type="dcterms:W3CDTF">2026-10-08T11:24:00Z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0x010100D154AA3BDECCF74EB1D0A0E180B92AF8</vt:lpwstr>
  </property>
</Properties>
</file>