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60"/>
        <w:ind w:right="0" w:left="63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EKONOM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İK DESTEK PAKETİ</w:t>
      </w:r>
    </w:p>
    <w:p>
      <w:pPr>
        <w:spacing w:before="0" w:after="160" w:line="360"/>
        <w:ind w:right="0" w:left="63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2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100 Milyon Türk Liral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ık İşletme Kredisi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İşletmelere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önelik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ırlanan kredi paketi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çin 100 milyon Türk Liras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üyüklü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ünde bir kaynak ayr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ılmıştır. Vergi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ükümlüsü gerçek ve tüzel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şilerin yararlanabileceği bu kredi kapsamında her işletme azami 150.000.- TL’ye kadar kredi kullanabilecek ve Kredi Garanti Fonu tarafından her krediye %80 oranında garanti sağlanacaktır. Bu kredilerin vadesi  ilk 6 ayı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ödemesiz olmak üzere 42 ay olarak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ştir.  Sabit faizli olarak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üzenlenen portföy kapsam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ındaki kredilerin faiz oranı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13 olarak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ştir.</w:t>
      </w: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ab/>
        <w:t xml:space="preserve">*Bu kredilerde faiz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ışında komisyon, benzeri masraf ve pul vergisi alınmayacaktır.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6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20 Milyon Türk Liras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üyüklü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ünde Kay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ıtlı İşyeri Bulunan ve/veya İlk Kez İşyeri Kuracak olan Kadın Girişimcilere ve Gen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ç Giri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şimcilere 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önelik Kredi Paketi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ırlanan kredi paketi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çin 20 milyon Türk Liras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üyüklü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ünde bir kaynak ayr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ılmıştır. Vergi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ükümlüsü gerçek ve tüzel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şilerin yararlanabileceği bu kredi kapsamında azami 150.000.- TL’ye kadar kredi kullanabilecek ve Kredi Garanti Fonu tarafından her krediye %80 oranında garanti sağlanacaktır. Bu kredilerin vadesi  ilk 6 ayı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ödemesiz olmak üzere 42 ay olarak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ştir.  Sabit faizli olarak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üzenlenen portföy kapsam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ındaki kredilerin faiz oranı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13 olarak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ştir.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*Bu kredilerde faiz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ışında komisyon, benzeri masraf ve pul vergisi alınmayacaktır.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8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20 Milyon Türk Liras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 Kredi Paketi / Tarım ve Hayvancılık Sekt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örüne Yönelik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Şebeke Harici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üne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 Enerjisi Elektrik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Üretim Sistemi  Kurulmas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 Kredisi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Tar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ım ve hayvancılık ile uğraşan kişilere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önelik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ırlanan kredi paketi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çin 20 milyon Türk Liras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üyüklü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ünde bir kaynak ayr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ılmıştır. Tarım ve hayvancılık ile uğraşan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çek ve tüzel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şilerin yararlanabileceği bu kredi kapsamında her işletme azami 200.000.- TL’ye kadar kredi kullanabilecek ve Kredi Garanti Fonu tarafından her krediye %80 oranında garanti sağlanacaktır. Bu kredilerin vadesi  ilk 6 ayı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ödemesiz olmak üzere 42 ay olarak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ştir.  Sabit faizli olarak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üzenlenen portföy kapsam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ındaki kredilerin faiz oranı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13 olarak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ştir.</w:t>
      </w: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ab/>
      </w: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*Bu kredilerde faiz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ışında komisyon, benzeri masraf ve pul vergisi alınmayacaktır.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2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KKTC’de Faaliyet Gösteren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İhracat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ılara 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önelik 60 Milyon TL’lik Türk Eximbank Kredi Paketi 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Türk Eximbank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ından KKTC’de faaliyet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österen ihracatç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ılara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önelik 60 milyon TL tutar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ındaki kredi paketinin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önündeki sorunlar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ılan girişimler sonucunda aşılmış olup, ihracat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ılarımız tarafından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21 faiz 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ile kullanılabilmesi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ümkün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ılınmıştır. 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ğer taraftan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ülkemizde Türkiye Halk Bankas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tarafından kullandırılan ve ihtiyacı olan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üm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şletmelerimizin başvurabileceği;</w:t>
      </w:r>
    </w:p>
    <w:p>
      <w:pPr>
        <w:numPr>
          <w:ilvl w:val="0"/>
          <w:numId w:val="14"/>
        </w:numPr>
        <w:spacing w:before="0" w:after="160" w:line="360"/>
        <w:ind w:right="0" w:left="13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esnaf 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şletme kredisi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9,5 faiz 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ile 60 aya kadar vadeli, azami 275 bin TL  </w:t>
      </w:r>
    </w:p>
    <w:p>
      <w:pPr>
        <w:numPr>
          <w:ilvl w:val="0"/>
          <w:numId w:val="14"/>
        </w:numPr>
        <w:spacing w:before="0" w:after="160" w:line="360"/>
        <w:ind w:right="0" w:left="135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şyeri  edindirme kredisi,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9,5 faiz 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ile 120 aya kadar vadeli, azami 1 milyon TL  </w:t>
      </w:r>
    </w:p>
    <w:p>
      <w:pPr>
        <w:numPr>
          <w:ilvl w:val="0"/>
          <w:numId w:val="14"/>
        </w:numPr>
        <w:spacing w:before="0" w:after="160" w:line="360"/>
        <w:ind w:right="0" w:left="135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ticari 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şıt edindirme kredisi,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9,5 faiz 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ile 84 aya kadar vadeli, azami 1 milyon TL  </w:t>
      </w:r>
    </w:p>
    <w:p>
      <w:pPr>
        <w:numPr>
          <w:ilvl w:val="0"/>
          <w:numId w:val="14"/>
        </w:numPr>
        <w:spacing w:before="0" w:after="160" w:line="360"/>
        <w:ind w:right="0" w:left="135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kad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ın girişimci kredisi,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16 faiz 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ile 36 aya kadar vadeli, azami 150 bin TL </w:t>
      </w:r>
    </w:p>
    <w:p>
      <w:pPr>
        <w:numPr>
          <w:ilvl w:val="0"/>
          <w:numId w:val="14"/>
        </w:numPr>
        <w:spacing w:before="0" w:after="160" w:line="360"/>
        <w:ind w:right="0" w:left="135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genç giri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şimci kredisi,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16 faiz 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ile 36 aya kadar vadeli, azami 350 bin TL </w:t>
      </w:r>
    </w:p>
    <w:p>
      <w:pPr>
        <w:spacing w:before="0" w:after="160" w:line="360"/>
        <w:ind w:right="0" w:left="0" w:firstLine="63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mevcut olup, ihtiyac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olan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üçük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şletmelerimiz de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ük faizli bu kredilere 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şvurabilecektir.</w:t>
      </w:r>
    </w:p>
    <w:p>
      <w:pPr>
        <w:spacing w:before="0" w:after="160" w:line="259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7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Sosyal yard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ım maaşı alanlara 2.000 TL,  engelli maaşı alanlara 1.000.-‘er TL olmak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üzere bayraml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ık katkı verilecektir. </w:t>
      </w: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9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Sosyal yard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ım maaşı alanlara ve cemile maaşı alanlara yılda bir kez Ocak ayında yapılan hayat pahalılığı uygulaması değiştirilerek Temmuz ayından itibaren altı ayda bir yılda iki kez olarak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üzenlenmi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ştir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63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22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Elektrik tarifelerinde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ılsonuna kadar fiyat artışı yapılması halinde, engelli maaşı ve sosyal yardım maaşı  alan vatandaşlarımıza bu artış uygulanmayacak , 2022 yılı sonuna kadar devlet tarafından karşılanacaktır.</w:t>
      </w:r>
    </w:p>
    <w:p>
      <w:pPr>
        <w:spacing w:before="0" w:after="160" w:line="259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24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Sektörlere yönelik olarak elektrik tarifelerine verilecek olan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şfik ile ilgili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ışmalar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önümüzdeki günlerde sonuçland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ırılacaktır.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26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ıbrıs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ürk Otelciler Birli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ği ve Kıbrıs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ürk Sanayi Odas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tarafından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üm finansman maliyeti Birlik ve Oda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ından karşılanmak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üzere 25 megavat büyüklü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ünde güne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 enerji santrali kurulmasına izin verilecek ve kurulan bu santral şebekeye dahil edilecektir.</w:t>
      </w:r>
    </w:p>
    <w:p>
      <w:pPr>
        <w:spacing w:before="0" w:after="160" w:line="259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28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Kendisi veya kendileri dahil 5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şiye kadar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ışanı bulunan gen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 giri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şimci (40 yaşa kadar) işveren veya işverenler ile kendi nam ve hesabına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ışan gen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 giri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şimci işveren veya işverenlere  şu an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ürürlükte olan yeni Gir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şimci Destek Paketi’nden faydalanmış olmaması halinde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üç ay boyunca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şveren yatırımlarının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üzde 50’si devlet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ından karşılanacaktır.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0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Devlete ait 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şınmazlar ile Vakıflar İdaresine ait taşınmazların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üm kiralamalar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ının bundan sonraki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üreçte Türk Liras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üzerinden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ılması ve her yıl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şecek enflasyon oranlarına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öre de 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ış yapılması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önünde düzenlemeler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ılmıştır.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2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Kredilerin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ılandırılması ile ilgili Yasa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ücünde Kararname’nin süresi 30 Eylül 2022 tarihine kadar uzat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ılmıştır.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4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30 Haziran 2022 tarihine kadar gerçekle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şecek olan hayat pahalılığı oranı Temmuz ayı itiabarı ile maaaşlara yansıtılacak ve  Temmuz sonu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ödenecektir.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6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Mart 2022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ğustos 2022 tarihkeri arası işveren katkı payının %65’i oranında işerenlere verilen Prim desteğinin devam etmesi konusundaki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ışmalar  Ağustos 2022’den sonra yeniden değerlendirelecektir.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8"/>
        </w:numPr>
        <w:spacing w:before="0" w:after="160" w:line="36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İhalelerde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üteahhitlerimizin döviz krizinden dolay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 yaşadığı sıkıntıların giderilmesi ve ihalelelerin sonu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çlanabilmesi 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ına fiyat farkı uygulanması ile ilgili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ümüzde düzenlemeler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ılmıştır.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KÜÇÜK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İŞLETMELER II. KREDİ PORTF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ÖYÜ </w:t>
      </w: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KULLANDIRIM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ŞARTLARI </w:t>
      </w:r>
    </w:p>
    <w:tbl>
      <w:tblPr/>
      <w:tblGrid>
        <w:gridCol w:w="3936"/>
        <w:gridCol w:w="5892"/>
      </w:tblGrid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Portföy Tutar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100.000.000,-TL (YüzmilyonTürkLiras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ı)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Krediden Yararlanacak Olan 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şiler: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Kredi Garanti Fonu garantisinden ve/veya Kredi Faiz Destek Fonu faiz deste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ğinden yararlanan bir kredisi bulunmayan</w:t>
            </w:r>
            <w:r>
              <w:rPr>
                <w:rFonts w:ascii="Times New Roman" w:hAnsi="Times New Roman" w:cs="Times New Roman" w:eastAsia="Times New Roman"/>
                <w:color w:val="0A0A0A"/>
                <w:spacing w:val="0"/>
                <w:position w:val="0"/>
                <w:sz w:val="24"/>
                <w:shd w:fill="FFFFFF" w:val="clear"/>
              </w:rPr>
              <w:t xml:space="preserve"> KKTC’de kayıtlı vergi y</w:t>
            </w:r>
            <w:r>
              <w:rPr>
                <w:rFonts w:ascii="Times New Roman" w:hAnsi="Times New Roman" w:cs="Times New Roman" w:eastAsia="Times New Roman"/>
                <w:color w:val="0A0A0A"/>
                <w:spacing w:val="0"/>
                <w:position w:val="0"/>
                <w:sz w:val="24"/>
                <w:shd w:fill="FFFFFF" w:val="clear"/>
              </w:rPr>
              <w:t xml:space="preserve">ükümlüsü gerçek ve tüzel ki</w:t>
            </w:r>
            <w:r>
              <w:rPr>
                <w:rFonts w:ascii="Times New Roman" w:hAnsi="Times New Roman" w:cs="Times New Roman" w:eastAsia="Times New Roman"/>
                <w:color w:val="0A0A0A"/>
                <w:spacing w:val="0"/>
                <w:position w:val="0"/>
                <w:sz w:val="24"/>
                <w:shd w:fill="FFFFFF" w:val="clear"/>
              </w:rPr>
              <w:t xml:space="preserve">şi işletmeler.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Firma Limiti: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Azami 150.000,-TL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üresi: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Garanti Fonu 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şvuruları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30.09.2022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tarihine kadar (bu tarih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âhil) kabul edilecek ve bankalarca 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şvurular ek’li başvuru formu ile yapılacaktır.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Teminat: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Banka taraf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ından serbest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çe belirlenecektir.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Para Cinsi: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Türk Liras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 (TL).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Vadesi: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ık eşit taksitli ilk 6 ay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ödemesiz dönem olmak üzere 42 ay 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Kapsam Dâhilinde Olmayan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İşletmeler: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*Tahsili gecikmi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 borcu bulunan işletmeler, 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*Çek yasa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ğında bulunan işletmeler,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Faiz Oran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*Krediler %13 sabit faiz ile kulland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ırılacaktır.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Faiz Deste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ği: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 portföy kapsam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ında kullandırılacak kredilere uygulanacak faiz oranı ile bankaların KKTC Merkez Bankası nezdinde bulundurmak zorunda oldukları TL mevduat yasal karşılık hesaplarına uygulanan faiz oranı arasındaki farkın 5 puanın altına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şmesi durumunda oluşacak fark Kredi Faiz Destek Fonu’ndan karşılanacaktır.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Masraflar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*Bu kredilerde faiz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ışında komisyon ve benzeri masraf alınmayacaktır.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*Bu kredilerde pul vergisi olmayacakt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ır. 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Garanti Fonu’nun Garanti Oran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80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Portföy Tazmin Limiti: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15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Kulland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ırım Şekli: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Kulland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ırılacak kredilerde kullandırım amacı ve hesaben kullandırım zorunluluğu aranmayacaktır.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ŞEBEKE HARİCİ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ENERJİSİ ELEKTRİK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İM SİSTEMİ KREDİ PORTF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ÖYÜ </w:t>
      </w:r>
    </w:p>
    <w:p>
      <w:pPr>
        <w:tabs>
          <w:tab w:val="left" w:pos="0" w:leader="none"/>
          <w:tab w:val="left" w:pos="567" w:leader="none"/>
          <w:tab w:val="left" w:pos="1418" w:leader="none"/>
          <w:tab w:val="left" w:pos="2410" w:leader="none"/>
          <w:tab w:val="left" w:pos="538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KULLANDIRIM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ŞARTLARI </w:t>
      </w:r>
    </w:p>
    <w:tbl>
      <w:tblPr/>
      <w:tblGrid>
        <w:gridCol w:w="3936"/>
        <w:gridCol w:w="5892"/>
      </w:tblGrid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Portföy Tutar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20.000.000,-TL (YirmimilyonTürkLiras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ı)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Krediden Yararlanacak Olan 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şiler: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Kredi Garanti Fonu garantisinden ve/veya Kredi Faiz Destek Fonu faiz deste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ğinden yararlanan bir kredisi bulunmayan</w:t>
            </w:r>
            <w:r>
              <w:rPr>
                <w:rFonts w:ascii="Times New Roman" w:hAnsi="Times New Roman" w:cs="Times New Roman" w:eastAsia="Times New Roman"/>
                <w:color w:val="0A0A0A"/>
                <w:spacing w:val="0"/>
                <w:position w:val="0"/>
                <w:sz w:val="24"/>
                <w:shd w:fill="FFFFFF" w:val="clear"/>
              </w:rPr>
              <w:t xml:space="preserve"> tarım ve hayvancılıkla uğraşan KKTC’de kayıtlı vergi y</w:t>
            </w:r>
            <w:r>
              <w:rPr>
                <w:rFonts w:ascii="Times New Roman" w:hAnsi="Times New Roman" w:cs="Times New Roman" w:eastAsia="Times New Roman"/>
                <w:color w:val="0A0A0A"/>
                <w:spacing w:val="0"/>
                <w:position w:val="0"/>
                <w:sz w:val="24"/>
                <w:shd w:fill="FFFFFF" w:val="clear"/>
              </w:rPr>
              <w:t xml:space="preserve">ükümlüsü gerçek ve tüzel ki</w:t>
            </w:r>
            <w:r>
              <w:rPr>
                <w:rFonts w:ascii="Times New Roman" w:hAnsi="Times New Roman" w:cs="Times New Roman" w:eastAsia="Times New Roman"/>
                <w:color w:val="0A0A0A"/>
                <w:spacing w:val="0"/>
                <w:position w:val="0"/>
                <w:sz w:val="24"/>
                <w:shd w:fill="FFFFFF" w:val="clear"/>
              </w:rPr>
              <w:t xml:space="preserve">şi işletmeler.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Firma Limiti: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Azami 200.000,-TL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üresi: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Garanti Fonu 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şvuruları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30.09.2022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tarihine kadar (bu tarih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âhil) kabul edilecek ve bankalarca 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şvurular ek’li başvuru formu ile yapılacaktır.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Teminat: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Banka taraf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ından serbest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çe belirlenecektir.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Para Cinsi: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Türk Liras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 (TL).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Vadesi: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ık eşit taksitli ilk 6 ay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ödemesiz dönem olmak üzere 42 ay 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Kapsam Dâhilinde Olmayan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İşletmeler: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*Tahsili gecikmi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 borcu bulunan işletmeler, 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*Çek yasa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ğında bulunan işletmeler,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Faiz Oran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*Krediler %13 sabit faiz ile kulland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ırılacaktır.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Faiz Deste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ği: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 portföy kapsam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ında kullandırılacak kredilere uygulanacak faiz oranı ile bankaların KKTC Merkez Bankası nezdinde bulundurmak zorunda oldukları TL mevduat yasal karşılık hesaplarına uygulanan faiz oranı arasındaki farkın 5 puanın altına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şmesi durumunda oluşacak fark Kredi Faiz Destek Fonu’ndan karşılanacaktır.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Masraflar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*Bu kredilerde faiz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ışında komisyon ve benzeri masraf alınmayacaktır.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*Bu kredilerde pul vergisi olmayacakt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ır. 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 Garanti Fonu’nun Garanti Oran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80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Portföy Tazmin Limiti: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15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Kulland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ırım Şekli:</w:t>
            </w:r>
          </w:p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  <w:tab w:val="left" w:pos="567" w:leader="none"/>
                <w:tab w:val="left" w:pos="1418" w:leader="none"/>
                <w:tab w:val="left" w:pos="2410" w:leader="none"/>
                <w:tab w:val="left" w:pos="53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Kredinin nakden kullan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ılması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ümkün olmay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ıp, kredi Ekonomi ve Enerji Bakanlığı’ndan alınan izin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çerçevesinde sistemi kuran firman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ın hesabına aktarılarak kullandırılacaktır.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63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2">
    <w:abstractNumId w:val="90"/>
  </w:num>
  <w:num w:numId="6">
    <w:abstractNumId w:val="84"/>
  </w:num>
  <w:num w:numId="8">
    <w:abstractNumId w:val="78"/>
  </w:num>
  <w:num w:numId="12">
    <w:abstractNumId w:val="72"/>
  </w:num>
  <w:num w:numId="14">
    <w:abstractNumId w:val="66"/>
  </w:num>
  <w:num w:numId="17">
    <w:abstractNumId w:val="60"/>
  </w:num>
  <w:num w:numId="19">
    <w:abstractNumId w:val="54"/>
  </w:num>
  <w:num w:numId="22">
    <w:abstractNumId w:val="48"/>
  </w:num>
  <w:num w:numId="24">
    <w:abstractNumId w:val="42"/>
  </w:num>
  <w:num w:numId="26">
    <w:abstractNumId w:val="36"/>
  </w:num>
  <w:num w:numId="28">
    <w:abstractNumId w:val="30"/>
  </w:num>
  <w:num w:numId="30">
    <w:abstractNumId w:val="24"/>
  </w:num>
  <w:num w:numId="32">
    <w:abstractNumId w:val="18"/>
  </w:num>
  <w:num w:numId="34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